
<file path=[Content_Types].xml><?xml version="1.0" encoding="utf-8"?>
<Types xmlns="http://schemas.openxmlformats.org/package/2006/content-types">
  <Default Extension="xlsx" ContentType="application/vnd.openxmlformats-officedocument.spreadsheetml.sheet"/>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B444CD9">
      <w:pPr>
        <w:jc w:val="center"/>
        <w:rPr>
          <w:rFonts w:ascii="仿宋_GB2312" w:eastAsia="仿宋_GB2312"/>
          <w:b/>
          <w:sz w:val="32"/>
          <w:szCs w:val="32"/>
        </w:rPr>
      </w:pPr>
    </w:p>
    <w:p w14:paraId="54669E80">
      <w:pPr>
        <w:jc w:val="center"/>
        <w:rPr>
          <w:rFonts w:ascii="黑体" w:eastAsia="黑体"/>
          <w:sz w:val="72"/>
          <w:szCs w:val="72"/>
        </w:rPr>
      </w:pPr>
    </w:p>
    <w:p w14:paraId="6D118AE2">
      <w:pPr>
        <w:jc w:val="center"/>
        <w:rPr>
          <w:rFonts w:ascii="黑体" w:eastAsia="黑体"/>
          <w:sz w:val="72"/>
          <w:szCs w:val="72"/>
        </w:rPr>
      </w:pPr>
    </w:p>
    <w:p w14:paraId="2B53F963">
      <w:pPr>
        <w:jc w:val="center"/>
        <w:rPr>
          <w:rFonts w:ascii="黑体" w:eastAsia="黑体"/>
          <w:sz w:val="72"/>
          <w:szCs w:val="72"/>
        </w:rPr>
      </w:pPr>
    </w:p>
    <w:p w14:paraId="5F8ED467">
      <w:pPr>
        <w:jc w:val="center"/>
        <w:rPr>
          <w:rFonts w:ascii="黑体" w:eastAsia="黑体"/>
          <w:sz w:val="72"/>
          <w:szCs w:val="72"/>
        </w:rPr>
      </w:pPr>
    </w:p>
    <w:p w14:paraId="524128E4">
      <w:pPr>
        <w:jc w:val="center"/>
        <w:rPr>
          <w:rFonts w:ascii="黑体" w:eastAsia="黑体"/>
          <w:sz w:val="72"/>
          <w:szCs w:val="72"/>
        </w:rPr>
      </w:pPr>
      <w:r>
        <w:rPr>
          <w:rFonts w:hint="eastAsia" w:ascii="黑体" w:eastAsia="黑体"/>
          <w:sz w:val="72"/>
          <w:szCs w:val="72"/>
        </w:rPr>
        <w:t>202</w:t>
      </w:r>
      <w:r>
        <w:rPr>
          <w:rFonts w:hint="eastAsia" w:ascii="黑体" w:eastAsia="黑体"/>
          <w:sz w:val="72"/>
          <w:szCs w:val="72"/>
          <w:lang w:val="en-US" w:eastAsia="zh-CN"/>
        </w:rPr>
        <w:t>4</w:t>
      </w:r>
      <w:r>
        <w:rPr>
          <w:rFonts w:hint="eastAsia" w:ascii="黑体" w:eastAsia="黑体"/>
          <w:sz w:val="72"/>
          <w:szCs w:val="72"/>
        </w:rPr>
        <w:t>年度部门决算（</w:t>
      </w:r>
      <w:r>
        <w:rPr>
          <w:rFonts w:hint="eastAsia" w:ascii="黑体" w:eastAsia="黑体"/>
          <w:sz w:val="72"/>
          <w:szCs w:val="72"/>
          <w:lang w:val="en-US" w:eastAsia="zh-CN"/>
        </w:rPr>
        <w:t>公开</w:t>
      </w:r>
      <w:r>
        <w:rPr>
          <w:rFonts w:ascii="黑体" w:eastAsia="黑体"/>
          <w:sz w:val="72"/>
          <w:szCs w:val="72"/>
        </w:rPr>
        <w:t>）</w:t>
      </w:r>
    </w:p>
    <w:p w14:paraId="44ADCF12">
      <w:pPr>
        <w:jc w:val="center"/>
        <w:rPr>
          <w:rFonts w:ascii="黑体" w:eastAsia="黑体"/>
          <w:sz w:val="52"/>
          <w:szCs w:val="52"/>
        </w:rPr>
      </w:pPr>
    </w:p>
    <w:p w14:paraId="3379569E">
      <w:pPr>
        <w:jc w:val="center"/>
        <w:rPr>
          <w:rFonts w:ascii="黑体" w:eastAsia="黑体"/>
          <w:sz w:val="52"/>
          <w:szCs w:val="52"/>
        </w:rPr>
      </w:pPr>
    </w:p>
    <w:p w14:paraId="5BDEE843">
      <w:pPr>
        <w:jc w:val="center"/>
        <w:rPr>
          <w:rFonts w:ascii="黑体" w:eastAsia="黑体"/>
          <w:sz w:val="52"/>
          <w:szCs w:val="52"/>
        </w:rPr>
      </w:pPr>
    </w:p>
    <w:p w14:paraId="758F7131">
      <w:pPr>
        <w:jc w:val="center"/>
        <w:rPr>
          <w:rFonts w:ascii="黑体" w:eastAsia="黑体"/>
          <w:sz w:val="52"/>
          <w:szCs w:val="52"/>
        </w:rPr>
      </w:pPr>
    </w:p>
    <w:p w14:paraId="483E512D">
      <w:pPr>
        <w:jc w:val="center"/>
        <w:rPr>
          <w:rFonts w:ascii="黑体" w:eastAsia="黑体"/>
          <w:sz w:val="32"/>
          <w:szCs w:val="32"/>
        </w:rPr>
      </w:pPr>
    </w:p>
    <w:p w14:paraId="73616E03">
      <w:pPr>
        <w:spacing w:line="500" w:lineRule="exact"/>
        <w:ind w:firstLine="645"/>
        <w:jc w:val="center"/>
        <w:rPr>
          <w:rFonts w:ascii="宋体" w:hAnsi="宋体" w:cs="宋体"/>
          <w:b/>
          <w:bCs/>
          <w:kern w:val="0"/>
          <w:sz w:val="44"/>
          <w:szCs w:val="36"/>
        </w:rPr>
      </w:pPr>
      <w:r>
        <w:rPr>
          <w:rFonts w:hint="eastAsia" w:ascii="宋体" w:hAnsi="宋体" w:cs="宋体"/>
          <w:b/>
          <w:bCs/>
          <w:kern w:val="0"/>
          <w:sz w:val="44"/>
          <w:szCs w:val="36"/>
        </w:rPr>
        <w:t>目    录</w:t>
      </w:r>
    </w:p>
    <w:p w14:paraId="12978E9F">
      <w:pPr>
        <w:spacing w:line="500" w:lineRule="exact"/>
        <w:ind w:firstLine="645"/>
        <w:jc w:val="center"/>
        <w:rPr>
          <w:rFonts w:hint="eastAsia" w:ascii="宋体" w:hAnsi="宋体" w:cs="宋体"/>
          <w:b/>
          <w:bCs/>
          <w:kern w:val="0"/>
          <w:sz w:val="36"/>
          <w:szCs w:val="36"/>
        </w:rPr>
      </w:pPr>
    </w:p>
    <w:p w14:paraId="6E967477">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第一部分 202</w:t>
      </w:r>
      <w:r>
        <w:rPr>
          <w:rFonts w:hint="eastAsia" w:ascii="宋体" w:hAnsi="宋体" w:cs="宋体"/>
          <w:bCs/>
          <w:spacing w:val="40"/>
          <w:kern w:val="0"/>
          <w:sz w:val="32"/>
          <w:szCs w:val="32"/>
          <w:lang w:val="en-US" w:eastAsia="zh-CN"/>
        </w:rPr>
        <w:t>4</w:t>
      </w:r>
      <w:r>
        <w:rPr>
          <w:rFonts w:hint="eastAsia" w:ascii="宋体" w:hAnsi="宋体" w:cs="宋体"/>
          <w:bCs/>
          <w:spacing w:val="40"/>
          <w:kern w:val="0"/>
          <w:sz w:val="32"/>
          <w:szCs w:val="32"/>
        </w:rPr>
        <w:t>年度部门决算报表</w:t>
      </w:r>
    </w:p>
    <w:p w14:paraId="291C3AC7">
      <w:pPr>
        <w:tabs>
          <w:tab w:val="center" w:pos="6979"/>
        </w:tabs>
        <w:spacing w:line="500" w:lineRule="exact"/>
        <w:ind w:firstLine="2400" w:firstLineChars="600"/>
        <w:jc w:val="left"/>
        <w:rPr>
          <w:rFonts w:hint="eastAsia"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14:paraId="5CE92FBF">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14:paraId="6C71955D">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14:paraId="251BA30F">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14:paraId="1A6BBF47">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五、一般公共预算财政拨款支出决算表</w:t>
      </w:r>
    </w:p>
    <w:p w14:paraId="55EBE2DA">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w:t>
      </w:r>
      <w:r>
        <w:rPr>
          <w:rFonts w:ascii="仿宋_GB2312" w:hAnsi="仿宋" w:eastAsia="仿宋_GB2312" w:cs="宋体"/>
          <w:bCs/>
          <w:spacing w:val="40"/>
          <w:kern w:val="0"/>
          <w:sz w:val="32"/>
          <w:szCs w:val="32"/>
        </w:rPr>
        <w:t>基本支出决算表</w:t>
      </w:r>
    </w:p>
    <w:p w14:paraId="1CDE4FFF">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七</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14:paraId="69E70CBC">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八</w:t>
      </w:r>
      <w:r>
        <w:rPr>
          <w:rFonts w:hint="eastAsia" w:ascii="仿宋_GB2312" w:hAnsi="仿宋" w:eastAsia="仿宋_GB2312" w:cs="宋体"/>
          <w:bCs/>
          <w:spacing w:val="40"/>
          <w:kern w:val="0"/>
          <w:sz w:val="32"/>
          <w:szCs w:val="32"/>
        </w:rPr>
        <w:t>、</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14:paraId="05B50F95">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九</w:t>
      </w:r>
      <w:r>
        <w:rPr>
          <w:rFonts w:hint="eastAsia" w:ascii="仿宋_GB2312" w:hAnsi="仿宋" w:eastAsia="仿宋_GB2312" w:cs="宋体"/>
          <w:bCs/>
          <w:spacing w:val="40"/>
          <w:kern w:val="0"/>
          <w:sz w:val="32"/>
          <w:szCs w:val="32"/>
        </w:rPr>
        <w:t>、国有资本经营预算财政拨款支出决算表</w:t>
      </w:r>
    </w:p>
    <w:p w14:paraId="2FD3DF0C">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十、财政拨款“三公”经费支出决算表</w:t>
      </w:r>
    </w:p>
    <w:p w14:paraId="6718F505">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十一、政府采购情况表</w:t>
      </w:r>
    </w:p>
    <w:p w14:paraId="362CBBD9">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w:t>
      </w:r>
      <w:r>
        <w:rPr>
          <w:rFonts w:hint="eastAsia" w:ascii="仿宋_GB2312" w:hAnsi="仿宋" w:eastAsia="仿宋_GB2312" w:cs="宋体"/>
          <w:bCs/>
          <w:spacing w:val="40"/>
          <w:kern w:val="0"/>
          <w:sz w:val="32"/>
          <w:szCs w:val="32"/>
          <w:lang w:eastAsia="zh-CN"/>
        </w:rPr>
        <w:t>二</w:t>
      </w:r>
      <w:r>
        <w:rPr>
          <w:rFonts w:hint="eastAsia" w:ascii="仿宋_GB2312" w:hAnsi="仿宋" w:eastAsia="仿宋_GB2312" w:cs="宋体"/>
          <w:bCs/>
          <w:spacing w:val="40"/>
          <w:kern w:val="0"/>
          <w:sz w:val="32"/>
          <w:szCs w:val="32"/>
        </w:rPr>
        <w:t>、政府购买服务决算公开情况表</w:t>
      </w:r>
    </w:p>
    <w:p w14:paraId="029D027E">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年度部门决算说明</w:t>
      </w:r>
    </w:p>
    <w:p w14:paraId="1EDC68C8">
      <w:pPr>
        <w:tabs>
          <w:tab w:val="center" w:pos="6979"/>
        </w:tabs>
        <w:spacing w:line="500" w:lineRule="exact"/>
        <w:ind w:firstLine="1600" w:firstLineChars="400"/>
        <w:jc w:val="left"/>
        <w:rPr>
          <w:rFonts w:hint="eastAsia"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w:t>
      </w:r>
      <w:r>
        <w:rPr>
          <w:rFonts w:hint="eastAsia" w:ascii="宋体" w:hAnsi="宋体" w:cs="宋体"/>
          <w:spacing w:val="40"/>
          <w:kern w:val="0"/>
          <w:sz w:val="32"/>
          <w:szCs w:val="32"/>
        </w:rPr>
        <w:t>其他重要事项的情况说明</w:t>
      </w:r>
    </w:p>
    <w:p w14:paraId="47E1AA60">
      <w:pPr>
        <w:tabs>
          <w:tab w:val="center" w:pos="6979"/>
        </w:tabs>
        <w:spacing w:line="500" w:lineRule="exact"/>
        <w:ind w:firstLine="1600" w:firstLineChars="400"/>
        <w:jc w:val="left"/>
        <w:rPr>
          <w:rFonts w:hint="eastAsia" w:ascii="宋体" w:hAnsi="宋体" w:cs="宋体"/>
          <w:spacing w:val="40"/>
          <w:kern w:val="0"/>
          <w:sz w:val="36"/>
          <w:szCs w:val="32"/>
        </w:rPr>
      </w:pPr>
      <w:r>
        <w:rPr>
          <w:rFonts w:hint="eastAsia" w:ascii="宋体" w:hAnsi="宋体" w:cs="宋体"/>
          <w:spacing w:val="40"/>
          <w:kern w:val="0"/>
          <w:sz w:val="32"/>
          <w:szCs w:val="32"/>
        </w:rPr>
        <w:t>第四部分 202</w:t>
      </w:r>
      <w:r>
        <w:rPr>
          <w:rFonts w:hint="eastAsia" w:ascii="宋体" w:hAnsi="宋体" w:cs="宋体"/>
          <w:spacing w:val="40"/>
          <w:kern w:val="0"/>
          <w:sz w:val="32"/>
          <w:szCs w:val="32"/>
          <w:lang w:val="en-US" w:eastAsia="zh-CN"/>
        </w:rPr>
        <w:t>4</w:t>
      </w:r>
      <w:r>
        <w:rPr>
          <w:rFonts w:hint="eastAsia" w:ascii="宋体" w:hAnsi="宋体" w:cs="宋体"/>
          <w:spacing w:val="40"/>
          <w:kern w:val="0"/>
          <w:sz w:val="32"/>
          <w:szCs w:val="32"/>
        </w:rPr>
        <w:t>年度部门绩效评价情况</w:t>
      </w:r>
    </w:p>
    <w:p w14:paraId="3E5003F2">
      <w:pPr>
        <w:tabs>
          <w:tab w:val="center" w:pos="6979"/>
        </w:tabs>
        <w:spacing w:before="156" w:beforeLines="50" w:after="156" w:afterLines="50"/>
        <w:jc w:val="center"/>
        <w:rPr>
          <w:rFonts w:ascii="宋体" w:hAnsi="宋体" w:cs="宋体"/>
          <w:b/>
          <w:bCs/>
          <w:spacing w:val="40"/>
          <w:kern w:val="0"/>
          <w:sz w:val="32"/>
          <w:szCs w:val="32"/>
        </w:rPr>
      </w:pPr>
    </w:p>
    <w:p w14:paraId="53922A18">
      <w:pPr>
        <w:tabs>
          <w:tab w:val="center" w:pos="6979"/>
        </w:tabs>
        <w:spacing w:before="156" w:beforeLines="50" w:after="156" w:afterLines="50"/>
        <w:jc w:val="center"/>
        <w:rPr>
          <w:rFonts w:ascii="宋体" w:hAnsi="宋体" w:cs="宋体"/>
          <w:b/>
          <w:bCs/>
          <w:spacing w:val="40"/>
          <w:kern w:val="0"/>
          <w:sz w:val="32"/>
          <w:szCs w:val="32"/>
        </w:rPr>
      </w:pPr>
    </w:p>
    <w:p w14:paraId="54759F71">
      <w:pPr>
        <w:tabs>
          <w:tab w:val="center" w:pos="6979"/>
        </w:tabs>
        <w:spacing w:before="156" w:beforeLines="50" w:after="156" w:afterLines="50"/>
        <w:jc w:val="center"/>
        <w:rPr>
          <w:rFonts w:ascii="宋体" w:hAnsi="宋体" w:cs="宋体"/>
          <w:b/>
          <w:bCs/>
          <w:spacing w:val="40"/>
          <w:kern w:val="0"/>
          <w:sz w:val="32"/>
          <w:szCs w:val="32"/>
        </w:rPr>
      </w:pPr>
    </w:p>
    <w:p w14:paraId="782D61DF">
      <w:pPr>
        <w:tabs>
          <w:tab w:val="center" w:pos="6979"/>
        </w:tabs>
        <w:spacing w:before="156" w:beforeLines="50" w:after="156" w:afterLines="50"/>
        <w:jc w:val="center"/>
        <w:rPr>
          <w:rFonts w:ascii="宋体" w:hAnsi="宋体" w:cs="宋体"/>
          <w:b/>
          <w:bCs/>
          <w:spacing w:val="40"/>
          <w:kern w:val="0"/>
          <w:sz w:val="32"/>
          <w:szCs w:val="32"/>
        </w:rPr>
      </w:pPr>
    </w:p>
    <w:p w14:paraId="6FA2991B">
      <w:pPr>
        <w:tabs>
          <w:tab w:val="center" w:pos="6979"/>
        </w:tabs>
        <w:spacing w:before="156" w:beforeLines="50" w:after="156" w:afterLines="50"/>
        <w:jc w:val="center"/>
        <w:rPr>
          <w:rFonts w:ascii="宋体" w:hAnsi="宋体" w:cs="宋体"/>
          <w:b/>
          <w:bCs/>
          <w:spacing w:val="40"/>
          <w:kern w:val="0"/>
          <w:sz w:val="32"/>
          <w:szCs w:val="32"/>
        </w:rPr>
      </w:pPr>
    </w:p>
    <w:p w14:paraId="202E7A77">
      <w:pPr>
        <w:tabs>
          <w:tab w:val="center" w:pos="6979"/>
        </w:tabs>
        <w:spacing w:before="156" w:beforeLines="50" w:after="156" w:afterLines="50"/>
        <w:jc w:val="center"/>
        <w:rPr>
          <w:rFonts w:ascii="宋体" w:hAnsi="宋体" w:cs="宋体"/>
          <w:b/>
          <w:bCs/>
          <w:spacing w:val="40"/>
          <w:kern w:val="0"/>
          <w:sz w:val="32"/>
          <w:szCs w:val="32"/>
        </w:rPr>
      </w:pPr>
      <w:r>
        <w:rPr>
          <w:rFonts w:hint="eastAsia" w:ascii="宋体" w:hAnsi="宋体" w:cs="宋体"/>
          <w:b/>
          <w:bCs/>
          <w:spacing w:val="40"/>
          <w:kern w:val="0"/>
          <w:sz w:val="44"/>
          <w:szCs w:val="44"/>
        </w:rPr>
        <w:t xml:space="preserve">第一部分 </w:t>
      </w:r>
      <w:r>
        <w:rPr>
          <w:rFonts w:hint="eastAsia" w:ascii="宋体" w:hAnsi="宋体" w:cs="宋体"/>
          <w:b/>
          <w:bCs/>
          <w:spacing w:val="40"/>
          <w:kern w:val="0"/>
          <w:sz w:val="44"/>
          <w:szCs w:val="44"/>
          <w:lang w:eastAsia="zh-CN"/>
        </w:rPr>
        <w:t>2024</w:t>
      </w:r>
      <w:r>
        <w:rPr>
          <w:rFonts w:hint="eastAsia" w:ascii="宋体" w:hAnsi="宋体" w:cs="宋体"/>
          <w:b/>
          <w:bCs/>
          <w:spacing w:val="40"/>
          <w:kern w:val="0"/>
          <w:sz w:val="44"/>
          <w:szCs w:val="44"/>
        </w:rPr>
        <w:t>年度部门决算报表</w:t>
      </w:r>
    </w:p>
    <w:p w14:paraId="1C6F044D">
      <w:pPr>
        <w:pStyle w:val="2"/>
        <w:rPr>
          <w:b w:val="0"/>
          <w:bCs w:val="0"/>
        </w:rPr>
        <w:sectPr>
          <w:footerReference r:id="rId3" w:type="default"/>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sz w:val="28"/>
          <w:szCs w:val="28"/>
        </w:rPr>
        <w:t xml:space="preserve">   </w:t>
      </w:r>
      <w:r>
        <w:rPr>
          <w:rFonts w:hint="eastAsia" w:ascii="仿宋_GB2312" w:eastAsia="仿宋_GB2312"/>
          <w:b w:val="0"/>
          <w:bCs w:val="0"/>
          <w:sz w:val="28"/>
          <w:szCs w:val="28"/>
        </w:rPr>
        <w:t>报表详见附件。</w:t>
      </w:r>
    </w:p>
    <w:p w14:paraId="186ECADE">
      <w:pPr>
        <w:tabs>
          <w:tab w:val="center" w:pos="6979"/>
        </w:tabs>
        <w:spacing w:before="156" w:beforeLines="50" w:after="156" w:afterLines="50"/>
        <w:jc w:val="center"/>
        <w:rPr>
          <w:rFonts w:hint="eastAsia"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年度部门决算说明</w:t>
      </w:r>
    </w:p>
    <w:p w14:paraId="0A7A2C8E">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一、部门/单位基本情况</w:t>
      </w:r>
    </w:p>
    <w:p w14:paraId="5B3F0E08">
      <w:pPr>
        <w:tabs>
          <w:tab w:val="center" w:pos="6979"/>
        </w:tabs>
        <w:spacing w:line="580" w:lineRule="exact"/>
        <w:rPr>
          <w:rFonts w:hint="eastAsia" w:ascii="仿宋_GB2312" w:eastAsia="仿宋_GB2312"/>
          <w:sz w:val="28"/>
          <w:szCs w:val="28"/>
          <w:lang w:eastAsia="zh-CN"/>
        </w:rPr>
      </w:pPr>
      <w:r>
        <w:rPr>
          <w:rFonts w:hint="eastAsia" w:ascii="仿宋_GB2312" w:eastAsia="仿宋_GB2312"/>
          <w:sz w:val="28"/>
          <w:szCs w:val="28"/>
        </w:rPr>
        <w:t>北京市西城区虎坊路幼儿园为西城区教委主管公办幼儿园，主要职责是为学龄前儿童提供保育和教育服务</w:t>
      </w:r>
      <w:r>
        <w:rPr>
          <w:rFonts w:hint="eastAsia" w:ascii="仿宋_GB2312" w:eastAsia="仿宋_GB2312"/>
          <w:sz w:val="28"/>
          <w:szCs w:val="28"/>
          <w:lang w:eastAsia="zh-CN"/>
        </w:rPr>
        <w:t>。</w:t>
      </w:r>
    </w:p>
    <w:p w14:paraId="166EFF84">
      <w:pPr>
        <w:tabs>
          <w:tab w:val="center" w:pos="6979"/>
        </w:tabs>
        <w:spacing w:line="580" w:lineRule="exact"/>
        <w:rPr>
          <w:rFonts w:hint="eastAsia" w:ascii="黑体" w:eastAsia="黑体"/>
          <w:b/>
          <w:sz w:val="28"/>
          <w:szCs w:val="28"/>
        </w:rPr>
      </w:pPr>
      <w:r>
        <w:rPr>
          <w:rFonts w:hint="eastAsia" w:ascii="仿宋_GB2312" w:eastAsia="仿宋_GB2312"/>
          <w:b/>
          <w:sz w:val="32"/>
          <w:szCs w:val="32"/>
        </w:rPr>
        <w:t xml:space="preserve">   </w:t>
      </w:r>
      <w:r>
        <w:rPr>
          <w:rFonts w:hint="eastAsia" w:ascii="黑体" w:eastAsia="黑体"/>
          <w:b/>
          <w:sz w:val="28"/>
          <w:szCs w:val="28"/>
        </w:rPr>
        <w:t>二、收入支出决算总体情况说明</w:t>
      </w:r>
    </w:p>
    <w:p w14:paraId="785457D1">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3181.69</w:t>
      </w:r>
      <w:r>
        <w:rPr>
          <w:rFonts w:hint="eastAsia" w:ascii="仿宋_GB2312" w:eastAsia="仿宋_GB2312"/>
          <w:sz w:val="28"/>
          <w:szCs w:val="28"/>
        </w:rPr>
        <w:t>万元，比上年减少169.23万元，下降5.05%。</w:t>
      </w:r>
    </w:p>
    <w:p w14:paraId="678295E5">
      <w:pPr>
        <w:tabs>
          <w:tab w:val="center" w:pos="6979"/>
        </w:tabs>
        <w:spacing w:line="580" w:lineRule="exact"/>
        <w:ind w:firstLine="570"/>
        <w:rPr>
          <w:rFonts w:hint="eastAsia" w:ascii="仿宋_GB2312" w:eastAsia="仿宋_GB2312"/>
          <w:sz w:val="28"/>
          <w:szCs w:val="28"/>
          <w:highlight w:val="none"/>
        </w:rPr>
      </w:pPr>
      <w:r>
        <w:rPr>
          <w:rFonts w:hint="eastAsia" w:ascii="仿宋_GB2312" w:eastAsia="仿宋_GB2312"/>
          <w:sz w:val="28"/>
          <w:szCs w:val="28"/>
          <w:highlight w:val="none"/>
        </w:rPr>
        <w:t>（一</w:t>
      </w:r>
      <w:r>
        <w:rPr>
          <w:rFonts w:ascii="仿宋_GB2312" w:eastAsia="仿宋_GB2312"/>
          <w:sz w:val="28"/>
          <w:szCs w:val="28"/>
          <w:highlight w:val="none"/>
        </w:rPr>
        <w:t>）</w:t>
      </w:r>
      <w:r>
        <w:rPr>
          <w:rFonts w:hint="eastAsia" w:ascii="仿宋_GB2312" w:eastAsia="仿宋_GB2312"/>
          <w:sz w:val="28"/>
          <w:szCs w:val="28"/>
          <w:highlight w:val="none"/>
        </w:rPr>
        <w:t>收入决算</w:t>
      </w:r>
      <w:r>
        <w:rPr>
          <w:rFonts w:ascii="仿宋_GB2312" w:eastAsia="仿宋_GB2312"/>
          <w:sz w:val="28"/>
          <w:szCs w:val="28"/>
          <w:highlight w:val="none"/>
        </w:rPr>
        <w:t>说明</w:t>
      </w:r>
    </w:p>
    <w:p w14:paraId="5089FC85">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年度本年收入合计</w:t>
      </w:r>
      <w:r>
        <w:rPr>
          <w:rFonts w:ascii="仿宋_GB2312" w:eastAsia="仿宋_GB2312"/>
          <w:sz w:val="28"/>
          <w:szCs w:val="28"/>
        </w:rPr>
        <w:t>3181.69</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w:t>
      </w:r>
      <w:r>
        <w:rPr>
          <w:rFonts w:ascii="仿宋_GB2312" w:eastAsia="仿宋_GB2312"/>
          <w:sz w:val="28"/>
          <w:szCs w:val="28"/>
        </w:rPr>
        <w:t>169.23</w:t>
      </w:r>
      <w:r>
        <w:rPr>
          <w:rFonts w:hint="eastAsia" w:ascii="仿宋_GB2312" w:eastAsia="仿宋_GB2312"/>
          <w:sz w:val="28"/>
          <w:szCs w:val="28"/>
        </w:rPr>
        <w:t>万元，下降5</w:t>
      </w:r>
      <w:r>
        <w:rPr>
          <w:rFonts w:ascii="仿宋_GB2312" w:eastAsia="仿宋_GB2312"/>
          <w:sz w:val="28"/>
          <w:szCs w:val="28"/>
        </w:rPr>
        <w:t>.05</w:t>
      </w:r>
      <w:r>
        <w:rPr>
          <w:rFonts w:hint="eastAsia" w:ascii="仿宋_GB2312" w:eastAsia="仿宋_GB2312"/>
          <w:sz w:val="28"/>
          <w:szCs w:val="28"/>
        </w:rPr>
        <w:t>%</w:t>
      </w:r>
      <w:r>
        <w:rPr>
          <w:rFonts w:hint="eastAsia" w:ascii="仿宋_GB2312" w:eastAsia="仿宋_GB2312"/>
          <w:sz w:val="28"/>
          <w:szCs w:val="28"/>
          <w:lang w:eastAsia="zh-CN"/>
        </w:rPr>
        <w:t>。</w:t>
      </w:r>
    </w:p>
    <w:p w14:paraId="63852260">
      <w:pPr>
        <w:numPr>
          <w:ilvl w:val="0"/>
          <w:numId w:val="0"/>
        </w:numPr>
        <w:tabs>
          <w:tab w:val="center" w:pos="6979"/>
        </w:tabs>
        <w:spacing w:line="580" w:lineRule="exact"/>
        <w:ind w:firstLine="560" w:firstLineChars="200"/>
        <w:rPr>
          <w:rFonts w:hint="eastAsia" w:ascii="仿宋_GB2312" w:eastAsia="仿宋_GB2312"/>
          <w:sz w:val="28"/>
          <w:szCs w:val="28"/>
          <w:lang w:eastAsia="zh-CN"/>
        </w:rPr>
      </w:pPr>
      <w:r>
        <w:rPr>
          <w:rFonts w:hint="eastAsia" w:ascii="仿宋_GB2312" w:eastAsia="仿宋_GB2312"/>
          <w:sz w:val="28"/>
          <w:szCs w:val="28"/>
          <w:lang w:val="en-US" w:eastAsia="zh-CN"/>
        </w:rPr>
        <w:t>1.</w:t>
      </w:r>
      <w:r>
        <w:rPr>
          <w:rFonts w:hint="eastAsia" w:ascii="仿宋_GB2312" w:eastAsia="仿宋_GB2312"/>
          <w:sz w:val="28"/>
          <w:szCs w:val="28"/>
        </w:rPr>
        <w:t>财政拨款收入</w:t>
      </w:r>
      <w:r>
        <w:rPr>
          <w:rFonts w:ascii="仿宋_GB2312" w:eastAsia="仿宋_GB2312"/>
          <w:sz w:val="28"/>
          <w:szCs w:val="28"/>
        </w:rPr>
        <w:t>3181.69</w:t>
      </w:r>
      <w:r>
        <w:rPr>
          <w:rFonts w:hint="eastAsia" w:ascii="仿宋_GB2312" w:eastAsia="仿宋_GB2312"/>
          <w:sz w:val="28"/>
          <w:szCs w:val="28"/>
        </w:rPr>
        <w:t>万元，占收入合计的</w:t>
      </w:r>
      <w:r>
        <w:rPr>
          <w:rFonts w:hint="eastAsia" w:ascii="仿宋_GB2312" w:eastAsia="仿宋_GB2312"/>
          <w:sz w:val="28"/>
          <w:szCs w:val="28"/>
          <w:lang w:eastAsia="zh-CN"/>
        </w:rPr>
        <w:t>100%。</w:t>
      </w:r>
      <w:r>
        <w:rPr>
          <w:rFonts w:hint="eastAsia" w:ascii="仿宋_GB2312" w:eastAsia="仿宋_GB2312"/>
          <w:sz w:val="28"/>
          <w:szCs w:val="28"/>
        </w:rPr>
        <w:t>其中：</w:t>
      </w:r>
      <w:r>
        <w:rPr>
          <w:rFonts w:hint="eastAsia" w:ascii="仿宋_GB2312" w:eastAsia="仿宋_GB2312"/>
          <w:sz w:val="28"/>
          <w:szCs w:val="28"/>
          <w:lang w:eastAsia="zh-CN"/>
        </w:rPr>
        <w:t>一般公共预算财政拨款收入</w:t>
      </w:r>
      <w:r>
        <w:rPr>
          <w:rFonts w:ascii="仿宋_GB2312" w:eastAsia="仿宋_GB2312"/>
          <w:sz w:val="28"/>
          <w:szCs w:val="28"/>
        </w:rPr>
        <w:t>3181.69</w:t>
      </w:r>
      <w:r>
        <w:rPr>
          <w:rFonts w:hint="eastAsia" w:ascii="仿宋_GB2312" w:eastAsia="仿宋_GB2312"/>
          <w:sz w:val="28"/>
          <w:szCs w:val="28"/>
        </w:rPr>
        <w:t>万元，占收入合计的</w:t>
      </w:r>
      <w:r>
        <w:rPr>
          <w:rFonts w:hint="eastAsia" w:ascii="仿宋_GB2312" w:eastAsia="仿宋_GB2312"/>
          <w:sz w:val="28"/>
          <w:szCs w:val="28"/>
          <w:lang w:eastAsia="zh-CN"/>
        </w:rPr>
        <w:t>100</w:t>
      </w:r>
      <w:r>
        <w:rPr>
          <w:rFonts w:hint="eastAsia" w:ascii="仿宋_GB2312" w:eastAsia="仿宋_GB2312"/>
          <w:sz w:val="28"/>
          <w:szCs w:val="28"/>
        </w:rPr>
        <w:t>%；</w:t>
      </w:r>
      <w:r>
        <w:rPr>
          <w:rFonts w:hint="eastAsia" w:ascii="仿宋_GB2312" w:eastAsia="仿宋_GB2312"/>
          <w:sz w:val="28"/>
          <w:szCs w:val="28"/>
          <w:lang w:eastAsia="zh-CN"/>
        </w:rPr>
        <w:t>政府性基金预算财政拨款收入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r>
        <w:rPr>
          <w:rFonts w:hint="eastAsia" w:ascii="仿宋_GB2312" w:eastAsia="仿宋_GB2312"/>
          <w:sz w:val="28"/>
          <w:szCs w:val="28"/>
          <w:lang w:eastAsia="zh-CN"/>
        </w:rPr>
        <w:t>国有资本经营预算财政拨款收入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14:paraId="3FD0A96B">
      <w:pPr>
        <w:numPr>
          <w:ilvl w:val="0"/>
          <w:numId w:val="0"/>
        </w:num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2.</w:t>
      </w:r>
      <w:r>
        <w:rPr>
          <w:rFonts w:hint="eastAsia" w:ascii="仿宋_GB2312" w:eastAsia="仿宋_GB2312"/>
          <w:sz w:val="28"/>
          <w:szCs w:val="28"/>
        </w:rPr>
        <w:t>上级补助收入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14:paraId="188E66BB">
      <w:pPr>
        <w:numPr>
          <w:ilvl w:val="0"/>
          <w:numId w:val="0"/>
        </w:num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3.</w:t>
      </w:r>
      <w:r>
        <w:rPr>
          <w:rFonts w:hint="eastAsia" w:ascii="仿宋_GB2312" w:eastAsia="仿宋_GB2312"/>
          <w:sz w:val="28"/>
          <w:szCs w:val="28"/>
        </w:rPr>
        <w:t>事业收入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14:paraId="1CB02105">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4.经营收入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14:paraId="405E40C7">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5.附属单位上缴收入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14:paraId="6409A84A">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6.其他收入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14:paraId="3CF3711C">
      <w:pPr>
        <w:pStyle w:val="2"/>
        <w:ind w:firstLine="0"/>
        <w:jc w:val="center"/>
      </w:pPr>
      <w:r>
        <w:rPr>
          <w:rFonts w:hint="eastAsia" w:ascii="仿宋_GB2312" w:eastAsia="仿宋_GB2312"/>
          <w:color w:val="000000"/>
          <w:sz w:val="32"/>
          <w:szCs w:val="32"/>
          <w:highlight w:val="none"/>
          <w:lang w:val="en-US" w:eastAsia="zh-CN"/>
        </w:rPr>
        <w:t>图1：收入决算</w:t>
      </w:r>
    </w:p>
    <w:p w14:paraId="7B74A4D5">
      <w:pPr>
        <w:pStyle w:val="3"/>
        <w:ind w:firstLine="420"/>
        <w:jc w:val="center"/>
      </w:pPr>
      <w:r>
        <w:drawing>
          <wp:inline distT="0" distB="0" distL="0" distR="0">
            <wp:extent cx="4036695" cy="2328545"/>
            <wp:effectExtent l="0" t="0" r="20955" b="14605"/>
            <wp:docPr id="3" name="图表 3"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14:paraId="47A92E37">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14:paraId="19D62C35">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2024年度本年支出合计</w:t>
      </w:r>
      <w:r>
        <w:rPr>
          <w:rFonts w:ascii="仿宋_GB2312" w:eastAsia="仿宋_GB2312"/>
          <w:sz w:val="28"/>
          <w:szCs w:val="28"/>
        </w:rPr>
        <w:t>3181.69</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减少1</w:t>
      </w:r>
      <w:r>
        <w:rPr>
          <w:rFonts w:ascii="仿宋_GB2312" w:eastAsia="仿宋_GB2312"/>
          <w:sz w:val="28"/>
          <w:szCs w:val="28"/>
        </w:rPr>
        <w:t>69.23</w:t>
      </w:r>
      <w:r>
        <w:rPr>
          <w:rFonts w:hint="eastAsia" w:ascii="仿宋_GB2312" w:eastAsia="仿宋_GB2312"/>
          <w:sz w:val="28"/>
          <w:szCs w:val="28"/>
        </w:rPr>
        <w:t>万元，下降5</w:t>
      </w:r>
      <w:r>
        <w:rPr>
          <w:rFonts w:ascii="仿宋_GB2312" w:eastAsia="仿宋_GB2312"/>
          <w:sz w:val="28"/>
          <w:szCs w:val="28"/>
        </w:rPr>
        <w:t>.05</w:t>
      </w:r>
      <w:r>
        <w:rPr>
          <w:rFonts w:hint="eastAsia" w:ascii="仿宋_GB2312" w:eastAsia="仿宋_GB2312"/>
          <w:sz w:val="28"/>
          <w:szCs w:val="28"/>
        </w:rPr>
        <w:t>%，其中：基本支出</w:t>
      </w:r>
      <w:r>
        <w:rPr>
          <w:rFonts w:ascii="仿宋_GB2312" w:eastAsia="仿宋_GB2312"/>
          <w:sz w:val="28"/>
          <w:szCs w:val="28"/>
        </w:rPr>
        <w:t>2940.4</w:t>
      </w:r>
      <w:r>
        <w:rPr>
          <w:rFonts w:hint="eastAsia" w:ascii="仿宋_GB2312" w:eastAsia="仿宋_GB2312"/>
          <w:sz w:val="28"/>
          <w:szCs w:val="28"/>
        </w:rPr>
        <w:t>万元，占支出合计的92.42%；项目支出</w:t>
      </w:r>
      <w:r>
        <w:rPr>
          <w:rFonts w:ascii="仿宋_GB2312" w:eastAsia="仿宋_GB2312"/>
          <w:sz w:val="28"/>
          <w:szCs w:val="28"/>
        </w:rPr>
        <w:t>241.3</w:t>
      </w:r>
      <w:r>
        <w:rPr>
          <w:rFonts w:hint="eastAsia" w:ascii="仿宋_GB2312" w:eastAsia="仿宋_GB2312"/>
          <w:sz w:val="28"/>
          <w:szCs w:val="28"/>
        </w:rPr>
        <w:t>万元，占支出合计的7.58%;上缴上级支出</w:t>
      </w:r>
      <w:r>
        <w:rPr>
          <w:rFonts w:ascii="仿宋_GB2312" w:eastAsia="仿宋_GB2312"/>
          <w:sz w:val="28"/>
          <w:szCs w:val="28"/>
        </w:rPr>
        <w:t>0</w:t>
      </w:r>
      <w:r>
        <w:rPr>
          <w:rFonts w:hint="eastAsia" w:ascii="仿宋_GB2312" w:eastAsia="仿宋_GB2312"/>
          <w:sz w:val="28"/>
          <w:szCs w:val="28"/>
        </w:rPr>
        <w:t>万元，占支出合计的0%；经营支出</w:t>
      </w:r>
      <w:r>
        <w:rPr>
          <w:rFonts w:ascii="仿宋_GB2312" w:eastAsia="仿宋_GB2312"/>
          <w:sz w:val="28"/>
          <w:szCs w:val="28"/>
        </w:rPr>
        <w:t>0</w:t>
      </w:r>
      <w:r>
        <w:rPr>
          <w:rFonts w:hint="eastAsia" w:ascii="仿宋_GB2312" w:eastAsia="仿宋_GB2312"/>
          <w:sz w:val="28"/>
          <w:szCs w:val="28"/>
        </w:rPr>
        <w:t>万元，占支出合计的0%；对附属单位补助支出</w:t>
      </w:r>
      <w:r>
        <w:rPr>
          <w:rFonts w:ascii="仿宋_GB2312" w:eastAsia="仿宋_GB2312"/>
          <w:sz w:val="28"/>
          <w:szCs w:val="28"/>
        </w:rPr>
        <w:t>0</w:t>
      </w:r>
      <w:r>
        <w:rPr>
          <w:rFonts w:hint="eastAsia" w:ascii="仿宋_GB2312" w:eastAsia="仿宋_GB2312"/>
          <w:sz w:val="28"/>
          <w:szCs w:val="28"/>
        </w:rPr>
        <w:t>万元，占支出合计的0%。</w:t>
      </w:r>
    </w:p>
    <w:p w14:paraId="1174C4E6">
      <w:pPr>
        <w:pStyle w:val="2"/>
        <w:ind w:firstLine="642"/>
        <w:jc w:val="center"/>
        <w:rPr>
          <w:rFonts w:ascii="仿宋_GB2312" w:eastAsia="仿宋_GB2312"/>
          <w:color w:val="000000"/>
          <w:sz w:val="32"/>
        </w:rPr>
      </w:pPr>
      <w:r>
        <w:rPr>
          <w:rFonts w:hint="eastAsia" w:ascii="仿宋_GB2312" w:eastAsia="仿宋_GB2312"/>
          <w:color w:val="000000"/>
          <w:sz w:val="32"/>
        </w:rPr>
        <w:t>图2：基本支出和项目支出情况</w:t>
      </w:r>
    </w:p>
    <w:p w14:paraId="444FFD52">
      <w:pPr>
        <w:jc w:val="center"/>
        <w:rPr>
          <w:rFonts w:ascii="黑体" w:eastAsia="黑体"/>
          <w:b/>
          <w:sz w:val="28"/>
          <w:szCs w:val="28"/>
        </w:rPr>
      </w:pPr>
      <w:r>
        <w:drawing>
          <wp:inline distT="0" distB="0" distL="114300" distR="114300">
            <wp:extent cx="4572000" cy="2743200"/>
            <wp:effectExtent l="4445" t="4445" r="14605" b="14605"/>
            <wp:docPr id="1" name="图表 3" title="{{pieChart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113B871D">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三</w:t>
      </w:r>
      <w:r>
        <w:rPr>
          <w:rFonts w:ascii="黑体" w:eastAsia="黑体"/>
          <w:b/>
          <w:sz w:val="28"/>
          <w:szCs w:val="28"/>
        </w:rPr>
        <w:t>、财政拨款</w:t>
      </w:r>
      <w:r>
        <w:rPr>
          <w:rFonts w:hint="eastAsia" w:ascii="黑体" w:eastAsia="黑体"/>
          <w:b/>
          <w:sz w:val="28"/>
          <w:szCs w:val="28"/>
        </w:rPr>
        <w:t>收入支出决算</w:t>
      </w:r>
      <w:r>
        <w:rPr>
          <w:rFonts w:ascii="黑体" w:eastAsia="黑体"/>
          <w:b/>
          <w:sz w:val="28"/>
          <w:szCs w:val="28"/>
        </w:rPr>
        <w:t>总体情况说明</w:t>
      </w:r>
    </w:p>
    <w:p w14:paraId="40888114">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2024年度财政拨款收、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3181.69</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减少1</w:t>
      </w:r>
      <w:r>
        <w:rPr>
          <w:rFonts w:ascii="仿宋_GB2312" w:eastAsia="仿宋_GB2312"/>
          <w:sz w:val="28"/>
          <w:szCs w:val="28"/>
        </w:rPr>
        <w:t>69.23</w:t>
      </w:r>
      <w:r>
        <w:rPr>
          <w:rFonts w:hint="eastAsia" w:ascii="仿宋_GB2312" w:eastAsia="仿宋_GB2312"/>
          <w:sz w:val="28"/>
          <w:szCs w:val="28"/>
        </w:rPr>
        <w:t>万元，下降5</w:t>
      </w:r>
      <w:r>
        <w:rPr>
          <w:rFonts w:ascii="仿宋_GB2312" w:eastAsia="仿宋_GB2312"/>
          <w:sz w:val="28"/>
          <w:szCs w:val="28"/>
        </w:rPr>
        <w:t>.05</w:t>
      </w:r>
      <w:r>
        <w:rPr>
          <w:rFonts w:hint="eastAsia" w:ascii="仿宋_GB2312" w:eastAsia="仿宋_GB2312"/>
          <w:sz w:val="28"/>
          <w:szCs w:val="28"/>
        </w:rPr>
        <w:t>%，主要原因：在职人员与上年相比有所减少，幼儿人数与比上年减少约100人。</w:t>
      </w:r>
    </w:p>
    <w:p w14:paraId="117A911F">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四、一般公共预算财政拨款支出决算情况说明</w:t>
      </w:r>
    </w:p>
    <w:p w14:paraId="11F8B4F6">
      <w:p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rPr>
        <w:t>（一）一般公共预算财政拨款支出决算总体情况</w:t>
      </w:r>
    </w:p>
    <w:p w14:paraId="60C92780">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2024年度一般公共预算财政拨款支出</w:t>
      </w:r>
      <w:r>
        <w:rPr>
          <w:rFonts w:ascii="仿宋_GB2312" w:eastAsia="仿宋_GB2312"/>
          <w:sz w:val="28"/>
          <w:szCs w:val="28"/>
        </w:rPr>
        <w:t>3181.69</w:t>
      </w:r>
      <w:r>
        <w:rPr>
          <w:rFonts w:hint="eastAsia" w:ascii="仿宋_GB2312" w:eastAsia="仿宋_GB2312"/>
          <w:sz w:val="28"/>
          <w:szCs w:val="28"/>
        </w:rPr>
        <w:t>万元，主要用于以下方面（按大类）：一般公共服务支出</w:t>
      </w:r>
      <w:r>
        <w:rPr>
          <w:rFonts w:ascii="仿宋_GB2312" w:eastAsia="仿宋_GB2312"/>
          <w:sz w:val="28"/>
          <w:szCs w:val="28"/>
        </w:rPr>
        <w:t>3181.69</w:t>
      </w:r>
      <w:r>
        <w:rPr>
          <w:rFonts w:hint="eastAsia" w:ascii="仿宋_GB2312" w:eastAsia="仿宋_GB2312"/>
          <w:sz w:val="28"/>
          <w:szCs w:val="28"/>
        </w:rPr>
        <w:t>万元，占本年财政拨款支出</w:t>
      </w:r>
      <w:r>
        <w:rPr>
          <w:rFonts w:ascii="仿宋_GB2312" w:eastAsia="仿宋_GB2312"/>
          <w:sz w:val="28"/>
          <w:szCs w:val="28"/>
        </w:rPr>
        <w:t>100</w:t>
      </w:r>
      <w:r>
        <w:rPr>
          <w:rFonts w:hint="eastAsia" w:ascii="仿宋_GB2312" w:eastAsia="仿宋_GB2312"/>
          <w:sz w:val="28"/>
          <w:szCs w:val="28"/>
        </w:rPr>
        <w:t>%。</w:t>
      </w:r>
    </w:p>
    <w:p w14:paraId="34F86A28">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（二）一般公共预算财政拨款支出决算具体情况</w:t>
      </w:r>
    </w:p>
    <w:p w14:paraId="582025A9">
      <w:pPr>
        <w:autoSpaceDE w:val="0"/>
        <w:autoSpaceDN w:val="0"/>
        <w:adjustRightInd w:val="0"/>
        <w:spacing w:line="580" w:lineRule="exact"/>
        <w:ind w:firstLine="560" w:firstLineChars="200"/>
        <w:jc w:val="left"/>
        <w:rPr>
          <w:rFonts w:ascii="仿宋_GB2312" w:eastAsia="仿宋_GB2312"/>
          <w:sz w:val="28"/>
          <w:szCs w:val="28"/>
        </w:rPr>
      </w:pPr>
      <w:r>
        <w:rPr>
          <w:rFonts w:ascii="仿宋_GB2312" w:eastAsia="仿宋_GB2312"/>
          <w:sz w:val="28"/>
          <w:szCs w:val="28"/>
        </w:rPr>
        <w:t>1、教育支出(类) 2024年度年初预算2106.30万元，2024年度决算</w:t>
      </w:r>
      <w:r>
        <w:rPr>
          <w:rFonts w:hint="eastAsia" w:ascii="仿宋_GB2312" w:eastAsia="仿宋_GB2312"/>
          <w:sz w:val="28"/>
          <w:szCs w:val="28"/>
        </w:rPr>
        <w:t>2</w:t>
      </w:r>
      <w:r>
        <w:rPr>
          <w:rFonts w:ascii="仿宋_GB2312" w:eastAsia="仿宋_GB2312"/>
          <w:sz w:val="28"/>
          <w:szCs w:val="28"/>
        </w:rPr>
        <w:t>182.90万元，</w:t>
      </w:r>
      <w:r>
        <w:rPr>
          <w:rFonts w:hint="eastAsia" w:ascii="仿宋_GB2312" w:eastAsia="仿宋_GB2312"/>
          <w:sz w:val="28"/>
          <w:szCs w:val="28"/>
        </w:rPr>
        <w:t>完成年初预算的1</w:t>
      </w:r>
      <w:r>
        <w:rPr>
          <w:rFonts w:ascii="仿宋_GB2312" w:eastAsia="仿宋_GB2312"/>
          <w:sz w:val="28"/>
          <w:szCs w:val="28"/>
        </w:rPr>
        <w:t>03.64%。</w:t>
      </w:r>
      <w:r>
        <w:rPr>
          <w:rFonts w:ascii="仿宋_GB2312" w:eastAsia="仿宋_GB2312"/>
          <w:sz w:val="28"/>
          <w:szCs w:val="28"/>
        </w:rPr>
        <w:br w:type="textWrapping"/>
      </w:r>
      <w:r>
        <w:rPr>
          <w:rFonts w:ascii="仿宋_GB2312" w:eastAsia="仿宋_GB2312"/>
          <w:sz w:val="28"/>
          <w:szCs w:val="28"/>
        </w:rPr>
        <w:t>其中：普通教育（款）2024年度年初预算2100.14万元，2024年度决算2177.47万元，</w:t>
      </w:r>
      <w:r>
        <w:rPr>
          <w:rFonts w:hint="eastAsia" w:ascii="仿宋_GB2312" w:eastAsia="仿宋_GB2312"/>
          <w:sz w:val="28"/>
          <w:szCs w:val="28"/>
        </w:rPr>
        <w:t>完成年初预算的1</w:t>
      </w:r>
      <w:r>
        <w:rPr>
          <w:rFonts w:ascii="仿宋_GB2312" w:eastAsia="仿宋_GB2312"/>
          <w:sz w:val="28"/>
          <w:szCs w:val="28"/>
        </w:rPr>
        <w:t>03.68%。主要原因是</w:t>
      </w:r>
      <w:r>
        <w:rPr>
          <w:rFonts w:hint="eastAsia" w:ascii="仿宋_GB2312" w:eastAsia="仿宋_GB2312"/>
          <w:sz w:val="28"/>
          <w:szCs w:val="28"/>
        </w:rPr>
        <w:t>主要原因为追加人员经费。</w:t>
      </w:r>
      <w:r>
        <w:rPr>
          <w:rFonts w:ascii="仿宋_GB2312" w:eastAsia="仿宋_GB2312"/>
          <w:sz w:val="28"/>
          <w:szCs w:val="28"/>
        </w:rPr>
        <w:t>进修及培训（款）2024年度年初预算6.16万元，2024年度决算5.44万元，完成年初预算的88.25%。</w:t>
      </w:r>
      <w:r>
        <w:rPr>
          <w:rFonts w:hint="eastAsia" w:ascii="仿宋_GB2312" w:eastAsia="仿宋_GB2312"/>
          <w:sz w:val="28"/>
          <w:szCs w:val="28"/>
        </w:rPr>
        <w:t>主要原因为培训人数较上年减少。</w:t>
      </w:r>
    </w:p>
    <w:p w14:paraId="4E1F43F7">
      <w:pPr>
        <w:autoSpaceDE w:val="0"/>
        <w:autoSpaceDN w:val="0"/>
        <w:adjustRightInd w:val="0"/>
        <w:spacing w:line="580" w:lineRule="exact"/>
        <w:ind w:firstLine="560" w:firstLineChars="200"/>
        <w:jc w:val="left"/>
        <w:rPr>
          <w:rFonts w:ascii="仿宋_GB2312" w:eastAsia="仿宋_GB2312"/>
          <w:sz w:val="28"/>
          <w:szCs w:val="28"/>
        </w:rPr>
      </w:pPr>
      <w:r>
        <w:rPr>
          <w:rFonts w:ascii="仿宋_GB2312" w:eastAsia="仿宋_GB2312"/>
          <w:sz w:val="28"/>
          <w:szCs w:val="28"/>
        </w:rPr>
        <w:t>2、社会保障和就业支出(类) 2024年度年初预算399.10万元</w:t>
      </w:r>
      <w:r>
        <w:rPr>
          <w:rFonts w:hint="eastAsia" w:ascii="仿宋_GB2312" w:eastAsia="仿宋_GB2312"/>
          <w:sz w:val="28"/>
          <w:szCs w:val="28"/>
        </w:rPr>
        <w:t>，</w:t>
      </w:r>
      <w:r>
        <w:rPr>
          <w:rFonts w:ascii="仿宋_GB2312" w:eastAsia="仿宋_GB2312"/>
          <w:sz w:val="28"/>
          <w:szCs w:val="28"/>
        </w:rPr>
        <w:t> 2024年度决算 401.45万元，</w:t>
      </w:r>
      <w:r>
        <w:rPr>
          <w:rFonts w:hint="eastAsia" w:ascii="仿宋_GB2312" w:eastAsia="仿宋_GB2312"/>
          <w:sz w:val="28"/>
          <w:szCs w:val="28"/>
        </w:rPr>
        <w:t>完成年初预算的1</w:t>
      </w:r>
      <w:r>
        <w:rPr>
          <w:rFonts w:ascii="仿宋_GB2312" w:eastAsia="仿宋_GB2312"/>
          <w:sz w:val="28"/>
          <w:szCs w:val="28"/>
        </w:rPr>
        <w:t>00.59%；</w:t>
      </w:r>
      <w:r>
        <w:rPr>
          <w:rFonts w:ascii="仿宋_GB2312" w:eastAsia="仿宋_GB2312"/>
          <w:sz w:val="28"/>
          <w:szCs w:val="28"/>
        </w:rPr>
        <w:br w:type="textWrapping"/>
      </w:r>
      <w:r>
        <w:rPr>
          <w:rFonts w:hint="eastAsia" w:ascii="仿宋_GB2312" w:eastAsia="仿宋_GB2312"/>
          <w:sz w:val="28"/>
          <w:szCs w:val="28"/>
        </w:rPr>
        <w:t>其中：</w:t>
      </w:r>
      <w:r>
        <w:rPr>
          <w:rFonts w:ascii="仿宋_GB2312" w:eastAsia="仿宋_GB2312"/>
          <w:sz w:val="28"/>
          <w:szCs w:val="28"/>
        </w:rPr>
        <w:t>行政事业单位养老支出（款）2024年度年初预算399.10</w:t>
      </w:r>
      <w:r>
        <w:rPr>
          <w:rFonts w:hint="eastAsia" w:ascii="仿宋_GB2312" w:eastAsia="仿宋_GB2312"/>
          <w:sz w:val="28"/>
          <w:szCs w:val="28"/>
        </w:rPr>
        <w:t>万元，</w:t>
      </w:r>
      <w:r>
        <w:rPr>
          <w:rFonts w:ascii="仿宋_GB2312" w:eastAsia="仿宋_GB2312"/>
          <w:sz w:val="28"/>
          <w:szCs w:val="28"/>
        </w:rPr>
        <w:t>2024年度决算 401.45万元，</w:t>
      </w:r>
      <w:r>
        <w:rPr>
          <w:rFonts w:hint="eastAsia" w:ascii="仿宋_GB2312" w:eastAsia="仿宋_GB2312"/>
          <w:sz w:val="28"/>
          <w:szCs w:val="28"/>
        </w:rPr>
        <w:t>完成年初预算的1</w:t>
      </w:r>
      <w:r>
        <w:rPr>
          <w:rFonts w:ascii="仿宋_GB2312" w:eastAsia="仿宋_GB2312"/>
          <w:sz w:val="28"/>
          <w:szCs w:val="28"/>
        </w:rPr>
        <w:t>00.59%。主要原因是当年社保基数</w:t>
      </w:r>
      <w:r>
        <w:rPr>
          <w:rFonts w:hint="eastAsia" w:ascii="仿宋_GB2312" w:eastAsia="仿宋_GB2312"/>
          <w:sz w:val="28"/>
          <w:szCs w:val="28"/>
        </w:rPr>
        <w:t>比上年</w:t>
      </w:r>
      <w:r>
        <w:rPr>
          <w:rFonts w:ascii="仿宋_GB2312" w:eastAsia="仿宋_GB2312"/>
          <w:sz w:val="28"/>
          <w:szCs w:val="28"/>
        </w:rPr>
        <w:t>有所</w:t>
      </w:r>
      <w:r>
        <w:rPr>
          <w:rFonts w:hint="eastAsia" w:ascii="仿宋_GB2312" w:eastAsia="仿宋_GB2312"/>
          <w:sz w:val="28"/>
          <w:szCs w:val="28"/>
        </w:rPr>
        <w:t>提高。</w:t>
      </w:r>
    </w:p>
    <w:p w14:paraId="04B2492A">
      <w:p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rPr>
        <w:t>3、</w:t>
      </w:r>
      <w:r>
        <w:rPr>
          <w:rFonts w:ascii="仿宋_GB2312" w:eastAsia="仿宋_GB2312"/>
          <w:sz w:val="28"/>
          <w:szCs w:val="28"/>
        </w:rPr>
        <w:t>卫生健康支出(类) 2024年度年初预算193.82万元</w:t>
      </w:r>
      <w:r>
        <w:rPr>
          <w:rFonts w:hint="eastAsia" w:ascii="仿宋_GB2312" w:eastAsia="仿宋_GB2312"/>
          <w:sz w:val="28"/>
          <w:szCs w:val="28"/>
        </w:rPr>
        <w:t>，</w:t>
      </w:r>
      <w:r>
        <w:rPr>
          <w:rFonts w:ascii="仿宋_GB2312" w:eastAsia="仿宋_GB2312"/>
          <w:sz w:val="28"/>
          <w:szCs w:val="28"/>
        </w:rPr>
        <w:t>2024年度决算204.14万元，</w:t>
      </w:r>
      <w:r>
        <w:rPr>
          <w:rFonts w:hint="eastAsia" w:ascii="仿宋_GB2312" w:eastAsia="仿宋_GB2312"/>
          <w:sz w:val="28"/>
          <w:szCs w:val="28"/>
        </w:rPr>
        <w:t>完成年初预算的1</w:t>
      </w:r>
      <w:r>
        <w:rPr>
          <w:rFonts w:ascii="仿宋_GB2312" w:eastAsia="仿宋_GB2312"/>
          <w:sz w:val="28"/>
          <w:szCs w:val="28"/>
        </w:rPr>
        <w:t>05.32%。</w:t>
      </w:r>
      <w:r>
        <w:rPr>
          <w:rFonts w:ascii="仿宋_GB2312" w:eastAsia="仿宋_GB2312"/>
          <w:sz w:val="28"/>
          <w:szCs w:val="28"/>
        </w:rPr>
        <w:br w:type="textWrapping"/>
      </w:r>
      <w:r>
        <w:rPr>
          <w:rFonts w:hint="eastAsia" w:ascii="仿宋_GB2312" w:eastAsia="仿宋_GB2312"/>
          <w:sz w:val="28"/>
          <w:szCs w:val="28"/>
        </w:rPr>
        <w:t>其中：</w:t>
      </w:r>
      <w:r>
        <w:rPr>
          <w:rFonts w:ascii="仿宋_GB2312" w:eastAsia="仿宋_GB2312"/>
          <w:sz w:val="28"/>
          <w:szCs w:val="28"/>
        </w:rPr>
        <w:t>行政事业单位医疗（款）2024年度年初预算193.88万元</w:t>
      </w:r>
      <w:r>
        <w:rPr>
          <w:rFonts w:hint="eastAsia" w:ascii="仿宋_GB2312" w:eastAsia="仿宋_GB2312"/>
          <w:sz w:val="28"/>
          <w:szCs w:val="28"/>
        </w:rPr>
        <w:t>，</w:t>
      </w:r>
      <w:r>
        <w:rPr>
          <w:rFonts w:ascii="仿宋_GB2312" w:eastAsia="仿宋_GB2312"/>
          <w:sz w:val="28"/>
          <w:szCs w:val="28"/>
        </w:rPr>
        <w:t>2024年度决算204.14万元，</w:t>
      </w:r>
      <w:r>
        <w:rPr>
          <w:rFonts w:hint="eastAsia" w:ascii="仿宋_GB2312" w:eastAsia="仿宋_GB2312"/>
          <w:sz w:val="28"/>
          <w:szCs w:val="28"/>
        </w:rPr>
        <w:t>完成年初预算的1</w:t>
      </w:r>
      <w:r>
        <w:rPr>
          <w:rFonts w:ascii="仿宋_GB2312" w:eastAsia="仿宋_GB2312"/>
          <w:sz w:val="28"/>
          <w:szCs w:val="28"/>
        </w:rPr>
        <w:t>05.32%。主要原因是当年医疗社保缴费基数</w:t>
      </w:r>
      <w:r>
        <w:rPr>
          <w:rFonts w:hint="eastAsia" w:ascii="仿宋_GB2312" w:eastAsia="仿宋_GB2312"/>
          <w:sz w:val="28"/>
          <w:szCs w:val="28"/>
        </w:rPr>
        <w:t>比上年</w:t>
      </w:r>
      <w:r>
        <w:rPr>
          <w:rFonts w:ascii="仿宋_GB2312" w:eastAsia="仿宋_GB2312"/>
          <w:sz w:val="28"/>
          <w:szCs w:val="28"/>
        </w:rPr>
        <w:t>有所</w:t>
      </w:r>
      <w:r>
        <w:rPr>
          <w:rFonts w:hint="eastAsia" w:ascii="仿宋_GB2312" w:eastAsia="仿宋_GB2312"/>
          <w:sz w:val="28"/>
          <w:szCs w:val="28"/>
        </w:rPr>
        <w:t>提高。</w:t>
      </w:r>
      <w:r>
        <w:rPr>
          <w:rFonts w:ascii="仿宋_GB2312" w:eastAsia="仿宋_GB2312"/>
          <w:sz w:val="28"/>
          <w:szCs w:val="28"/>
        </w:rPr>
        <w:br w:type="textWrapping"/>
      </w:r>
      <w:r>
        <w:rPr>
          <w:rFonts w:ascii="仿宋_GB2312" w:eastAsia="仿宋_GB2312"/>
          <w:sz w:val="28"/>
          <w:szCs w:val="28"/>
        </w:rPr>
        <w:t xml:space="preserve">   4</w:t>
      </w:r>
      <w:r>
        <w:rPr>
          <w:rFonts w:hint="eastAsia" w:ascii="仿宋_GB2312" w:eastAsia="仿宋_GB2312"/>
          <w:sz w:val="28"/>
          <w:szCs w:val="28"/>
        </w:rPr>
        <w:t>、</w:t>
      </w:r>
      <w:r>
        <w:rPr>
          <w:rFonts w:ascii="仿宋_GB2312" w:eastAsia="仿宋_GB2312"/>
          <w:sz w:val="28"/>
          <w:szCs w:val="28"/>
        </w:rPr>
        <w:t>住房保障支出(类) 2024年度年初预算384.03万元</w:t>
      </w:r>
      <w:r>
        <w:rPr>
          <w:rFonts w:hint="eastAsia" w:ascii="仿宋_GB2312" w:eastAsia="仿宋_GB2312"/>
          <w:sz w:val="28"/>
          <w:szCs w:val="28"/>
        </w:rPr>
        <w:t>，</w:t>
      </w:r>
      <w:r>
        <w:rPr>
          <w:rFonts w:ascii="仿宋_GB2312" w:eastAsia="仿宋_GB2312"/>
          <w:sz w:val="28"/>
          <w:szCs w:val="28"/>
        </w:rPr>
        <w:t>2024年度决算393.20万元，</w:t>
      </w:r>
      <w:r>
        <w:rPr>
          <w:rFonts w:hint="eastAsia" w:ascii="仿宋_GB2312" w:eastAsia="仿宋_GB2312"/>
          <w:sz w:val="28"/>
          <w:szCs w:val="28"/>
        </w:rPr>
        <w:t>完成年初预算的1</w:t>
      </w:r>
      <w:r>
        <w:rPr>
          <w:rFonts w:ascii="仿宋_GB2312" w:eastAsia="仿宋_GB2312"/>
          <w:sz w:val="28"/>
          <w:szCs w:val="28"/>
        </w:rPr>
        <w:t>02.39%。</w:t>
      </w:r>
      <w:r>
        <w:rPr>
          <w:rFonts w:ascii="仿宋_GB2312" w:eastAsia="仿宋_GB2312"/>
          <w:sz w:val="28"/>
          <w:szCs w:val="28"/>
        </w:rPr>
        <w:br w:type="textWrapping"/>
      </w:r>
      <w:r>
        <w:rPr>
          <w:rFonts w:hint="eastAsia" w:ascii="仿宋_GB2312" w:eastAsia="仿宋_GB2312"/>
          <w:sz w:val="28"/>
          <w:szCs w:val="28"/>
        </w:rPr>
        <w:t>其中：</w:t>
      </w:r>
      <w:r>
        <w:rPr>
          <w:rFonts w:ascii="仿宋_GB2312" w:eastAsia="仿宋_GB2312"/>
          <w:sz w:val="28"/>
          <w:szCs w:val="28"/>
        </w:rPr>
        <w:t>住房改革支出（款）2024年度年初预算384.03万元</w:t>
      </w:r>
      <w:r>
        <w:rPr>
          <w:rFonts w:hint="eastAsia" w:ascii="仿宋_GB2312" w:eastAsia="仿宋_GB2312"/>
          <w:sz w:val="28"/>
          <w:szCs w:val="28"/>
        </w:rPr>
        <w:t>，</w:t>
      </w:r>
      <w:r>
        <w:rPr>
          <w:rFonts w:ascii="仿宋_GB2312" w:eastAsia="仿宋_GB2312"/>
          <w:sz w:val="28"/>
          <w:szCs w:val="28"/>
        </w:rPr>
        <w:t>2024年度决算393.20万元，</w:t>
      </w:r>
      <w:r>
        <w:rPr>
          <w:rFonts w:hint="eastAsia" w:ascii="仿宋_GB2312" w:eastAsia="仿宋_GB2312"/>
          <w:sz w:val="28"/>
          <w:szCs w:val="28"/>
        </w:rPr>
        <w:t>完成年初预算的1</w:t>
      </w:r>
      <w:r>
        <w:rPr>
          <w:rFonts w:ascii="仿宋_GB2312" w:eastAsia="仿宋_GB2312"/>
          <w:sz w:val="28"/>
          <w:szCs w:val="28"/>
        </w:rPr>
        <w:t>02.39%。</w:t>
      </w:r>
      <w:r>
        <w:rPr>
          <w:rFonts w:ascii="仿宋_GB2312" w:eastAsia="仿宋_GB2312"/>
          <w:sz w:val="28"/>
          <w:szCs w:val="28"/>
        </w:rPr>
        <w:br w:type="textWrapping"/>
      </w:r>
      <w:r>
        <w:rPr>
          <w:rFonts w:ascii="仿宋_GB2312" w:eastAsia="仿宋_GB2312"/>
          <w:sz w:val="28"/>
          <w:szCs w:val="28"/>
        </w:rPr>
        <w:t>主要原因是住房公积金缴费基数</w:t>
      </w:r>
      <w:r>
        <w:rPr>
          <w:rFonts w:hint="eastAsia" w:ascii="仿宋_GB2312" w:eastAsia="仿宋_GB2312"/>
          <w:sz w:val="28"/>
          <w:szCs w:val="28"/>
        </w:rPr>
        <w:t>比上年</w:t>
      </w:r>
      <w:r>
        <w:rPr>
          <w:rFonts w:ascii="仿宋_GB2312" w:eastAsia="仿宋_GB2312"/>
          <w:sz w:val="28"/>
          <w:szCs w:val="28"/>
        </w:rPr>
        <w:t>有所</w:t>
      </w:r>
      <w:r>
        <w:rPr>
          <w:rFonts w:hint="eastAsia" w:ascii="仿宋_GB2312" w:eastAsia="仿宋_GB2312"/>
          <w:sz w:val="28"/>
          <w:szCs w:val="28"/>
        </w:rPr>
        <w:t>提高。</w:t>
      </w:r>
    </w:p>
    <w:p w14:paraId="1C9A8C45">
      <w:pPr>
        <w:spacing w:line="580" w:lineRule="exact"/>
        <w:ind w:firstLine="560" w:firstLineChars="200"/>
        <w:rPr>
          <w:rFonts w:hint="eastAsia" w:ascii="仿宋_GB2312" w:eastAsia="仿宋_GB2312"/>
          <w:sz w:val="28"/>
          <w:szCs w:val="28"/>
        </w:rPr>
      </w:pPr>
      <w:r>
        <w:rPr>
          <w:rFonts w:hint="eastAsia" w:ascii="黑体" w:eastAsia="黑体"/>
          <w:b/>
          <w:sz w:val="28"/>
          <w:szCs w:val="28"/>
        </w:rPr>
        <w:t>五、政府性基金预算财政拨款支出决算情况说明</w:t>
      </w:r>
    </w:p>
    <w:p w14:paraId="0A0FA08D">
      <w:p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rPr>
        <w:t>（一）政府性基金预算财政拨款支出决算总体情况</w:t>
      </w:r>
    </w:p>
    <w:p w14:paraId="18DBB369">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本单位无此项支出。</w:t>
      </w:r>
    </w:p>
    <w:p w14:paraId="1A3A8E3D">
      <w:p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rPr>
        <w:t>（二）政府性基金预算财政拨款支出决算具体情况</w:t>
      </w:r>
    </w:p>
    <w:p w14:paraId="6CA025EC">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本单位无此项支出。</w:t>
      </w:r>
    </w:p>
    <w:p w14:paraId="26101FD1">
      <w:pPr>
        <w:spacing w:line="580" w:lineRule="exact"/>
        <w:ind w:firstLine="560" w:firstLineChars="200"/>
        <w:rPr>
          <w:rFonts w:hint="eastAsia" w:ascii="黑体" w:eastAsia="黑体"/>
          <w:b/>
          <w:sz w:val="28"/>
          <w:szCs w:val="28"/>
        </w:rPr>
      </w:pPr>
      <w:r>
        <w:rPr>
          <w:rFonts w:hint="eastAsia" w:ascii="黑体" w:eastAsia="黑体"/>
          <w:b/>
          <w:sz w:val="28"/>
          <w:szCs w:val="28"/>
        </w:rPr>
        <w:t>六、国有资本经营预算财</w:t>
      </w:r>
      <w:r>
        <w:rPr>
          <w:rFonts w:ascii="黑体" w:eastAsia="黑体"/>
          <w:b/>
          <w:sz w:val="28"/>
          <w:szCs w:val="28"/>
        </w:rPr>
        <w:t>政拨款</w:t>
      </w:r>
      <w:r>
        <w:rPr>
          <w:rFonts w:hint="eastAsia" w:ascii="黑体" w:eastAsia="黑体"/>
          <w:b/>
          <w:sz w:val="28"/>
          <w:szCs w:val="28"/>
        </w:rPr>
        <w:t>收支情况</w:t>
      </w:r>
    </w:p>
    <w:p w14:paraId="35829708">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本单位无此项支出。</w:t>
      </w:r>
    </w:p>
    <w:p w14:paraId="6DF119E8">
      <w:pPr>
        <w:spacing w:line="580" w:lineRule="exact"/>
        <w:ind w:firstLine="548" w:firstLineChars="196"/>
        <w:rPr>
          <w:rFonts w:hint="eastAsia" w:ascii="黑体" w:eastAsia="黑体"/>
          <w:sz w:val="28"/>
          <w:szCs w:val="28"/>
        </w:rPr>
      </w:pPr>
      <w:r>
        <w:rPr>
          <w:rFonts w:hint="eastAsia" w:ascii="黑体" w:eastAsia="黑体"/>
          <w:b/>
          <w:sz w:val="28"/>
          <w:szCs w:val="28"/>
        </w:rPr>
        <w:t>七、财政拨款基本支出决算情况说明</w:t>
      </w:r>
    </w:p>
    <w:p w14:paraId="7EA50C9E">
      <w:pPr>
        <w:tabs>
          <w:tab w:val="center" w:pos="6979"/>
        </w:tabs>
        <w:spacing w:line="580" w:lineRule="exact"/>
        <w:ind w:firstLine="548" w:firstLineChars="196"/>
        <w:rPr>
          <w:rFonts w:hint="eastAsia" w:ascii="黑体" w:eastAsia="黑体"/>
          <w:b/>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年度使用一般公共预算财政拨款安排基本支出</w:t>
      </w:r>
      <w:r>
        <w:rPr>
          <w:rFonts w:ascii="仿宋_GB2312" w:eastAsia="仿宋_GB2312"/>
          <w:sz w:val="28"/>
          <w:szCs w:val="28"/>
        </w:rPr>
        <w:t>2940.4</w:t>
      </w:r>
      <w:r>
        <w:rPr>
          <w:rFonts w:hint="eastAsia" w:ascii="仿宋_GB2312" w:eastAsia="仿宋_GB2312"/>
          <w:sz w:val="28"/>
          <w:szCs w:val="28"/>
        </w:rPr>
        <w:t>万元，使用政府性基金财政拨款安排基本支出</w:t>
      </w:r>
      <w:r>
        <w:rPr>
          <w:rFonts w:ascii="仿宋_GB2312" w:eastAsia="仿宋_GB2312"/>
          <w:sz w:val="28"/>
          <w:szCs w:val="28"/>
        </w:rPr>
        <w:t>0</w:t>
      </w:r>
      <w:r>
        <w:rPr>
          <w:rFonts w:hint="eastAsia" w:ascii="仿宋_GB2312" w:eastAsia="仿宋_GB2312"/>
          <w:sz w:val="28"/>
          <w:szCs w:val="28"/>
        </w:rPr>
        <w:t>万元，（1）工资福利支出包括基本工资</w:t>
      </w:r>
      <w:r>
        <w:rPr>
          <w:rFonts w:ascii="仿宋_GB2312" w:eastAsia="仿宋_GB2312"/>
          <w:sz w:val="28"/>
          <w:szCs w:val="28"/>
        </w:rPr>
        <w:t>、津贴补贴、奖金、伙食补助费、绩效工资、</w:t>
      </w:r>
      <w:r>
        <w:rPr>
          <w:rFonts w:hint="eastAsia" w:ascii="仿宋_GB2312" w:eastAsia="仿宋_GB2312"/>
          <w:sz w:val="28"/>
          <w:szCs w:val="28"/>
        </w:rPr>
        <w:t>其他</w:t>
      </w:r>
      <w:r>
        <w:rPr>
          <w:rFonts w:ascii="仿宋_GB2312" w:eastAsia="仿宋_GB2312"/>
          <w:sz w:val="28"/>
          <w:szCs w:val="28"/>
        </w:rPr>
        <w:t>社会保障缴费、其他工资福利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；（2）商品和服务支出包括</w:t>
      </w:r>
      <w:r>
        <w:rPr>
          <w:rFonts w:ascii="仿宋_GB2312" w:eastAsia="仿宋_GB2312"/>
          <w:sz w:val="28"/>
          <w:szCs w:val="28"/>
        </w:rPr>
        <w:t>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；（3）对个人和家庭补助支出包括</w:t>
      </w:r>
      <w:r>
        <w:rPr>
          <w:rFonts w:ascii="仿宋_GB2312" w:eastAsia="仿宋_GB2312"/>
          <w:sz w:val="28"/>
          <w:szCs w:val="28"/>
        </w:rPr>
        <w:t>离休费、退休费、抚恤金、生活补助、</w:t>
      </w:r>
      <w:r>
        <w:rPr>
          <w:rFonts w:hint="eastAsia" w:ascii="仿宋_GB2312" w:eastAsia="仿宋_GB2312"/>
          <w:sz w:val="28"/>
          <w:szCs w:val="28"/>
        </w:rPr>
        <w:t>救济费</w:t>
      </w:r>
      <w:r>
        <w:rPr>
          <w:rFonts w:ascii="仿宋_GB2312" w:eastAsia="仿宋_GB2312"/>
          <w:sz w:val="28"/>
          <w:szCs w:val="28"/>
        </w:rPr>
        <w:t>、医疗费</w:t>
      </w:r>
      <w:r>
        <w:rPr>
          <w:rFonts w:hint="eastAsia" w:ascii="仿宋_GB2312" w:eastAsia="仿宋_GB2312"/>
          <w:sz w:val="28"/>
          <w:szCs w:val="28"/>
        </w:rPr>
        <w:t>补助</w:t>
      </w:r>
      <w:r>
        <w:rPr>
          <w:rFonts w:ascii="仿宋_GB2312" w:eastAsia="仿宋_GB2312"/>
          <w:sz w:val="28"/>
          <w:szCs w:val="28"/>
        </w:rPr>
        <w:t>、助学金、奖励金</w:t>
      </w:r>
      <w:r>
        <w:rPr>
          <w:rFonts w:hint="eastAsia" w:ascii="仿宋_GB2312" w:eastAsia="仿宋_GB2312"/>
          <w:sz w:val="28"/>
          <w:szCs w:val="28"/>
        </w:rPr>
        <w:t>、</w:t>
      </w:r>
      <w:r>
        <w:rPr>
          <w:rFonts w:ascii="仿宋_GB2312" w:eastAsia="仿宋_GB2312"/>
          <w:sz w:val="28"/>
          <w:szCs w:val="28"/>
        </w:rPr>
        <w:t>其他对个人和家庭的补助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。（4）其他资本性支出包括</w:t>
      </w:r>
      <w:r>
        <w:rPr>
          <w:rFonts w:ascii="仿宋_GB2312" w:eastAsia="仿宋_GB2312"/>
          <w:sz w:val="28"/>
          <w:szCs w:val="28"/>
        </w:rPr>
        <w:t>办公设备购置、专用设备购置</w:t>
      </w:r>
      <w:r>
        <w:rPr>
          <w:rFonts w:hint="eastAsia" w:ascii="仿宋_GB2312" w:eastAsia="仿宋_GB2312"/>
          <w:sz w:val="28"/>
          <w:szCs w:val="28"/>
        </w:rPr>
        <w:t>等</w:t>
      </w:r>
      <w:r>
        <w:rPr>
          <w:rFonts w:ascii="仿宋_GB2312" w:eastAsia="仿宋_GB2312"/>
          <w:sz w:val="28"/>
          <w:szCs w:val="28"/>
        </w:rPr>
        <w:t>。</w:t>
      </w:r>
    </w:p>
    <w:p w14:paraId="0294B8F7">
      <w:pPr>
        <w:autoSpaceDE w:val="0"/>
        <w:autoSpaceDN w:val="0"/>
        <w:adjustRightInd w:val="0"/>
        <w:spacing w:line="580" w:lineRule="exact"/>
        <w:jc w:val="both"/>
        <w:rPr>
          <w:rFonts w:hint="eastAsia" w:ascii="宋体" w:hAnsi="宋体"/>
          <w:b/>
          <w:spacing w:val="40"/>
          <w:sz w:val="32"/>
          <w:szCs w:val="32"/>
        </w:rPr>
      </w:pPr>
      <w:r>
        <w:rPr>
          <w:rFonts w:ascii="仿宋_GB2312" w:eastAsia="仿宋_GB2312"/>
          <w:b/>
          <w:sz w:val="32"/>
          <w:szCs w:val="32"/>
        </w:rPr>
        <w:tab/>
      </w:r>
    </w:p>
    <w:p w14:paraId="72A9D6FD">
      <w:pPr>
        <w:tabs>
          <w:tab w:val="center" w:pos="6979"/>
        </w:tabs>
        <w:jc w:val="center"/>
        <w:rPr>
          <w:rFonts w:hint="eastAsia" w:ascii="宋体" w:hAnsi="宋体" w:cs="宋体"/>
          <w:b/>
          <w:spacing w:val="40"/>
          <w:kern w:val="0"/>
          <w:sz w:val="32"/>
          <w:szCs w:val="32"/>
        </w:rPr>
      </w:pPr>
      <w:r>
        <w:rPr>
          <w:rFonts w:hint="eastAsia" w:ascii="宋体" w:hAnsi="宋体" w:cs="宋体"/>
          <w:b/>
          <w:bCs/>
          <w:spacing w:val="40"/>
          <w:kern w:val="0"/>
          <w:sz w:val="32"/>
          <w:szCs w:val="32"/>
        </w:rPr>
        <w:t>第三部分</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w:t>
      </w:r>
      <w:r>
        <w:rPr>
          <w:rFonts w:hint="eastAsia" w:ascii="宋体" w:hAnsi="宋体" w:cs="宋体"/>
          <w:b/>
          <w:spacing w:val="40"/>
          <w:kern w:val="0"/>
          <w:sz w:val="32"/>
          <w:szCs w:val="32"/>
        </w:rPr>
        <w:t>其他重要事项的情况说明</w:t>
      </w:r>
    </w:p>
    <w:p w14:paraId="065F4525">
      <w:pPr>
        <w:spacing w:line="560" w:lineRule="exact"/>
        <w:ind w:firstLine="560" w:firstLineChars="200"/>
        <w:rPr>
          <w:rFonts w:hint="eastAsia" w:ascii="黑体" w:eastAsia="黑体"/>
          <w:sz w:val="28"/>
          <w:szCs w:val="28"/>
        </w:rPr>
      </w:pPr>
      <w:r>
        <w:rPr>
          <w:rFonts w:hint="eastAsia" w:ascii="黑体" w:eastAsia="黑体"/>
          <w:sz w:val="28"/>
          <w:szCs w:val="28"/>
        </w:rPr>
        <w:t>一、“三公”经费财政拨款决算情况</w:t>
      </w:r>
    </w:p>
    <w:p w14:paraId="67A8F430">
      <w:pPr>
        <w:tabs>
          <w:tab w:val="center" w:pos="6979"/>
        </w:tabs>
        <w:ind w:firstLine="554" w:firstLineChars="198"/>
        <w:rPr>
          <w:rFonts w:hint="eastAsia" w:ascii="仿宋_GB2312" w:eastAsia="仿宋_GB2312"/>
          <w:sz w:val="28"/>
          <w:szCs w:val="28"/>
        </w:rPr>
      </w:pPr>
      <w:r>
        <w:rPr>
          <w:rFonts w:hint="eastAsia" w:ascii="仿宋_GB2312" w:eastAsia="仿宋_GB2312"/>
          <w:sz w:val="28"/>
          <w:szCs w:val="28"/>
        </w:rPr>
        <w:t>2024年度我单位无“三公”经费支出。</w:t>
      </w:r>
    </w:p>
    <w:p w14:paraId="10B3C3EC">
      <w:pPr>
        <w:tabs>
          <w:tab w:val="center" w:pos="6979"/>
        </w:tabs>
        <w:ind w:firstLine="554" w:firstLineChars="198"/>
        <w:rPr>
          <w:rFonts w:hint="eastAsia" w:ascii="黑体" w:eastAsia="黑体"/>
          <w:sz w:val="28"/>
          <w:szCs w:val="28"/>
        </w:rPr>
      </w:pPr>
      <w:r>
        <w:rPr>
          <w:rFonts w:hint="eastAsia" w:ascii="黑体" w:eastAsia="黑体"/>
          <w:sz w:val="28"/>
          <w:szCs w:val="28"/>
        </w:rPr>
        <w:t>二、机关运行经费支出情况</w:t>
      </w:r>
    </w:p>
    <w:p w14:paraId="2DB6A158">
      <w:pPr>
        <w:ind w:left="540"/>
        <w:rPr>
          <w:rFonts w:ascii="仿宋_GB2312" w:eastAsia="仿宋_GB2312"/>
          <w:sz w:val="28"/>
          <w:szCs w:val="28"/>
        </w:rPr>
      </w:pPr>
      <w:r>
        <w:rPr>
          <w:rFonts w:hint="eastAsia" w:ascii="仿宋_GB2312" w:eastAsia="仿宋_GB2312"/>
          <w:sz w:val="28"/>
          <w:szCs w:val="28"/>
        </w:rPr>
        <w:t>我单位不在机关运行经费统计范围之内。</w:t>
      </w:r>
    </w:p>
    <w:p w14:paraId="0335793B">
      <w:pPr>
        <w:ind w:left="540"/>
        <w:rPr>
          <w:rFonts w:hint="eastAsia" w:ascii="黑体" w:eastAsia="黑体"/>
          <w:sz w:val="28"/>
          <w:szCs w:val="28"/>
        </w:rPr>
      </w:pPr>
      <w:r>
        <w:rPr>
          <w:rFonts w:hint="eastAsia" w:ascii="黑体" w:eastAsia="黑体"/>
          <w:sz w:val="28"/>
          <w:szCs w:val="28"/>
        </w:rPr>
        <w:t>三、政府采购支出情况</w:t>
      </w:r>
    </w:p>
    <w:p w14:paraId="5FB2C862">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年度政府采购支出总额</w:t>
      </w:r>
      <w:r>
        <w:rPr>
          <w:rFonts w:ascii="仿宋_GB2312" w:eastAsia="仿宋_GB2312"/>
          <w:sz w:val="28"/>
          <w:szCs w:val="28"/>
        </w:rPr>
        <w:t>14.99</w:t>
      </w:r>
      <w:r>
        <w:rPr>
          <w:rFonts w:hint="eastAsia" w:ascii="仿宋_GB2312" w:eastAsia="仿宋_GB2312"/>
          <w:sz w:val="28"/>
          <w:szCs w:val="28"/>
        </w:rPr>
        <w:t>万元，其中：政府采购货物支出</w:t>
      </w:r>
      <w:r>
        <w:rPr>
          <w:rFonts w:ascii="仿宋_GB2312" w:eastAsia="仿宋_GB2312"/>
          <w:sz w:val="28"/>
          <w:szCs w:val="28"/>
        </w:rPr>
        <w:t>0.19</w:t>
      </w:r>
      <w:r>
        <w:rPr>
          <w:rFonts w:hint="eastAsia" w:ascii="仿宋_GB2312" w:eastAsia="仿宋_GB2312"/>
          <w:sz w:val="28"/>
          <w:szCs w:val="28"/>
        </w:rPr>
        <w:t>万元，政府采购工程支出</w:t>
      </w:r>
      <w:r>
        <w:rPr>
          <w:rFonts w:ascii="仿宋_GB2312" w:eastAsia="仿宋_GB2312"/>
          <w:sz w:val="28"/>
          <w:szCs w:val="28"/>
        </w:rPr>
        <w:t>0</w:t>
      </w:r>
      <w:r>
        <w:rPr>
          <w:rFonts w:hint="eastAsia" w:ascii="仿宋_GB2312" w:eastAsia="仿宋_GB2312"/>
          <w:sz w:val="28"/>
          <w:szCs w:val="28"/>
        </w:rPr>
        <w:t>万元，政府采购服务支出</w:t>
      </w:r>
      <w:r>
        <w:rPr>
          <w:rFonts w:ascii="仿宋_GB2312" w:eastAsia="仿宋_GB2312"/>
          <w:sz w:val="28"/>
          <w:szCs w:val="28"/>
        </w:rPr>
        <w:t>14.81</w:t>
      </w:r>
      <w:r>
        <w:rPr>
          <w:rFonts w:hint="eastAsia" w:ascii="仿宋_GB2312" w:eastAsia="仿宋_GB2312"/>
          <w:sz w:val="28"/>
          <w:szCs w:val="28"/>
        </w:rPr>
        <w:t>万元。授予中小企业合同金额</w:t>
      </w:r>
      <w:r>
        <w:rPr>
          <w:rFonts w:ascii="仿宋_GB2312" w:eastAsia="仿宋_GB2312"/>
          <w:sz w:val="28"/>
          <w:szCs w:val="28"/>
        </w:rPr>
        <w:t>14.99</w:t>
      </w:r>
      <w:r>
        <w:rPr>
          <w:rFonts w:hint="eastAsia" w:ascii="仿宋_GB2312" w:eastAsia="仿宋_GB2312"/>
          <w:sz w:val="28"/>
          <w:szCs w:val="28"/>
        </w:rPr>
        <w:t>万元，占政府采购支出总额的</w:t>
      </w:r>
      <w:r>
        <w:rPr>
          <w:rFonts w:hint="eastAsia" w:ascii="仿宋_GB2312" w:eastAsia="仿宋_GB2312"/>
          <w:sz w:val="28"/>
          <w:szCs w:val="28"/>
          <w:lang w:eastAsia="zh-CN"/>
        </w:rPr>
        <w:t>100</w:t>
      </w:r>
      <w:r>
        <w:rPr>
          <w:rFonts w:hint="eastAsia" w:ascii="仿宋_GB2312" w:eastAsia="仿宋_GB2312"/>
          <w:sz w:val="28"/>
          <w:szCs w:val="28"/>
        </w:rPr>
        <w:t>%，其中：授予小微企业合同金额</w:t>
      </w:r>
      <w:r>
        <w:rPr>
          <w:rFonts w:ascii="仿宋_GB2312" w:eastAsia="仿宋_GB2312"/>
          <w:sz w:val="28"/>
          <w:szCs w:val="28"/>
        </w:rPr>
        <w:t>14.99</w:t>
      </w:r>
      <w:r>
        <w:rPr>
          <w:rFonts w:hint="eastAsia" w:ascii="仿宋_GB2312" w:eastAsia="仿宋_GB2312"/>
          <w:sz w:val="28"/>
          <w:szCs w:val="28"/>
        </w:rPr>
        <w:t>万元，占政府采购支出总额的</w:t>
      </w:r>
      <w:r>
        <w:rPr>
          <w:rFonts w:ascii="仿宋_GB2312" w:eastAsia="仿宋_GB2312"/>
          <w:sz w:val="28"/>
          <w:szCs w:val="28"/>
        </w:rPr>
        <w:t>100</w:t>
      </w:r>
      <w:r>
        <w:rPr>
          <w:rFonts w:hint="eastAsia" w:ascii="仿宋_GB2312" w:eastAsia="仿宋_GB2312"/>
          <w:sz w:val="28"/>
          <w:szCs w:val="28"/>
        </w:rPr>
        <w:t>%。</w:t>
      </w:r>
    </w:p>
    <w:p w14:paraId="2301F70D">
      <w:pPr>
        <w:ind w:firstLine="560" w:firstLineChars="200"/>
        <w:rPr>
          <w:rFonts w:hint="eastAsia" w:ascii="黑体" w:eastAsia="黑体"/>
          <w:sz w:val="28"/>
          <w:szCs w:val="28"/>
          <w:highlight w:val="yellow"/>
        </w:rPr>
      </w:pPr>
      <w:r>
        <w:rPr>
          <w:rFonts w:hint="eastAsia" w:ascii="黑体" w:eastAsia="黑体"/>
          <w:sz w:val="28"/>
          <w:szCs w:val="28"/>
          <w:highlight w:val="none"/>
        </w:rPr>
        <w:t>四、国有资产占用情况</w:t>
      </w:r>
    </w:p>
    <w:p w14:paraId="7FCBFB4B">
      <w:pPr>
        <w:ind w:firstLine="560" w:firstLineChars="200"/>
        <w:rPr>
          <w:rFonts w:ascii="仿宋_GB2312" w:eastAsia="仿宋_GB2312"/>
          <w:sz w:val="32"/>
          <w:szCs w:val="32"/>
        </w:rPr>
      </w:pPr>
      <w:r>
        <w:rPr>
          <w:rFonts w:hint="eastAsia" w:ascii="仿宋_GB2312" w:eastAsia="仿宋_GB2312"/>
          <w:sz w:val="28"/>
          <w:szCs w:val="28"/>
          <w:lang w:eastAsia="zh-CN"/>
        </w:rPr>
        <w:t>截至</w:t>
      </w:r>
      <w:r>
        <w:rPr>
          <w:rFonts w:hint="eastAsia" w:ascii="仿宋_GB2312" w:eastAsia="仿宋_GB2312"/>
          <w:sz w:val="28"/>
          <w:szCs w:val="28"/>
          <w:lang w:val="en-US" w:eastAsia="zh-CN"/>
        </w:rPr>
        <w:t>12月31日，北京市西城区虎坊路幼儿园</w:t>
      </w:r>
      <w:r>
        <w:rPr>
          <w:rFonts w:hint="eastAsia" w:ascii="仿宋_GB2312" w:eastAsia="仿宋_GB2312"/>
          <w:sz w:val="28"/>
          <w:szCs w:val="28"/>
          <w:lang w:eastAsia="zh-CN"/>
        </w:rPr>
        <w:t>共有</w:t>
      </w:r>
      <w:r>
        <w:rPr>
          <w:rFonts w:hint="eastAsia" w:ascii="仿宋_GB2312" w:eastAsia="仿宋_GB2312"/>
          <w:sz w:val="28"/>
          <w:szCs w:val="28"/>
        </w:rPr>
        <w:t>车辆</w:t>
      </w:r>
      <w:r>
        <w:rPr>
          <w:rFonts w:hint="eastAsia" w:ascii="仿宋_GB2312" w:eastAsia="仿宋_GB2312"/>
          <w:sz w:val="28"/>
          <w:szCs w:val="28"/>
          <w:lang w:val="en-US" w:eastAsia="zh-CN"/>
        </w:rPr>
        <w:t>0</w:t>
      </w:r>
      <w:r>
        <w:rPr>
          <w:rFonts w:hint="eastAsia" w:ascii="仿宋_GB2312" w:eastAsia="仿宋_GB2312"/>
          <w:sz w:val="28"/>
          <w:szCs w:val="28"/>
        </w:rPr>
        <w:t>台；单位价值100万元</w:t>
      </w:r>
      <w:r>
        <w:rPr>
          <w:rFonts w:hint="eastAsia" w:ascii="仿宋_GB2312" w:eastAsia="仿宋_GB2312"/>
          <w:sz w:val="28"/>
          <w:szCs w:val="28"/>
          <w:lang w:eastAsia="zh-CN"/>
        </w:rPr>
        <w:t>（含）</w:t>
      </w:r>
      <w:r>
        <w:rPr>
          <w:rFonts w:hint="eastAsia" w:ascii="仿宋_GB2312" w:eastAsia="仿宋_GB2312"/>
          <w:sz w:val="28"/>
          <w:szCs w:val="28"/>
        </w:rPr>
        <w:t>以上的设备</w:t>
      </w:r>
      <w:r>
        <w:rPr>
          <w:rFonts w:hint="eastAsia" w:ascii="仿宋_GB2312" w:eastAsia="仿宋_GB2312"/>
          <w:sz w:val="28"/>
          <w:szCs w:val="28"/>
          <w:lang w:val="en-US" w:eastAsia="zh-CN"/>
        </w:rPr>
        <w:t>0</w:t>
      </w:r>
      <w:r>
        <w:rPr>
          <w:rFonts w:hint="eastAsia" w:ascii="仿宋_GB2312" w:eastAsia="仿宋_GB2312"/>
          <w:sz w:val="28"/>
          <w:szCs w:val="28"/>
        </w:rPr>
        <w:t>台（套）。</w:t>
      </w:r>
    </w:p>
    <w:p w14:paraId="62842977">
      <w:pPr>
        <w:ind w:firstLine="537" w:firstLineChars="192"/>
        <w:rPr>
          <w:rFonts w:ascii="黑体" w:eastAsia="黑体"/>
          <w:sz w:val="28"/>
          <w:szCs w:val="28"/>
        </w:rPr>
      </w:pPr>
      <w:r>
        <w:rPr>
          <w:rFonts w:hint="eastAsia" w:ascii="黑体" w:eastAsia="黑体"/>
          <w:sz w:val="28"/>
          <w:szCs w:val="28"/>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14:paraId="217DFD90">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ascii="仿宋_GB2312" w:eastAsia="仿宋_GB2312"/>
          <w:sz w:val="28"/>
          <w:szCs w:val="28"/>
        </w:rPr>
        <w:t>政府购买服务决算0</w:t>
      </w:r>
      <w:r>
        <w:rPr>
          <w:rFonts w:hint="eastAsia" w:ascii="仿宋_GB2312" w:eastAsia="仿宋_GB2312"/>
          <w:sz w:val="28"/>
          <w:szCs w:val="28"/>
        </w:rPr>
        <w:t>万元。</w:t>
      </w:r>
    </w:p>
    <w:p w14:paraId="7B9479D2">
      <w:pPr>
        <w:ind w:firstLine="560" w:firstLineChars="200"/>
        <w:jc w:val="left"/>
        <w:rPr>
          <w:rFonts w:hint="eastAsia" w:ascii="仿宋_GB2312" w:eastAsia="仿宋_GB2312"/>
          <w:color w:val="000000"/>
          <w:sz w:val="32"/>
          <w:szCs w:val="32"/>
        </w:rPr>
      </w:pPr>
      <w:r>
        <w:rPr>
          <w:rFonts w:hint="eastAsia" w:ascii="黑体" w:eastAsia="黑体"/>
          <w:sz w:val="28"/>
          <w:szCs w:val="28"/>
        </w:rPr>
        <w:t>六、</w:t>
      </w:r>
      <w:r>
        <w:rPr>
          <w:rFonts w:ascii="黑体" w:eastAsia="黑体"/>
          <w:sz w:val="28"/>
          <w:szCs w:val="28"/>
        </w:rPr>
        <w:t>专业名词解释</w:t>
      </w:r>
    </w:p>
    <w:p w14:paraId="4049E6AD">
      <w:pPr>
        <w:ind w:firstLine="560" w:firstLineChars="200"/>
        <w:rPr>
          <w:rFonts w:hint="eastAsia"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14:paraId="1AE61BE7">
      <w:pPr>
        <w:ind w:firstLine="560" w:firstLineChars="200"/>
        <w:rPr>
          <w:rFonts w:hint="eastAsia"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14:paraId="52AA310B">
      <w:pPr>
        <w:ind w:firstLine="560" w:firstLineChars="200"/>
        <w:rPr>
          <w:rFonts w:hint="eastAsia" w:ascii="仿宋_GB2312" w:hAnsi="宋体" w:eastAsia="仿宋_GB2312"/>
          <w:sz w:val="28"/>
          <w:szCs w:val="28"/>
        </w:rPr>
      </w:pPr>
      <w:r>
        <w:rPr>
          <w:rFonts w:hint="eastAsia" w:ascii="仿宋_GB2312" w:eastAsia="仿宋_GB2312"/>
          <w:sz w:val="28"/>
          <w:szCs w:val="28"/>
        </w:rPr>
        <w:t>3.“三公”经费：</w:t>
      </w:r>
      <w:r>
        <w:rPr>
          <w:rFonts w:hint="eastAsia" w:ascii="仿宋_GB2312" w:hAnsi="宋体" w:eastAsia="仿宋_GB2312"/>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14:paraId="70FC2F1E">
      <w:pPr>
        <w:ind w:firstLine="560" w:firstLineChars="200"/>
        <w:rPr>
          <w:rFonts w:hint="eastAsia" w:ascii="仿宋_GB2312" w:hAnsi="宋体" w:eastAsia="仿宋_GB2312"/>
          <w:sz w:val="28"/>
          <w:szCs w:val="28"/>
        </w:rPr>
      </w:pPr>
      <w:r>
        <w:rPr>
          <w:rFonts w:hint="eastAsia" w:ascii="仿宋_GB2312" w:eastAsia="仿宋_GB2312"/>
          <w:sz w:val="28"/>
          <w:szCs w:val="28"/>
        </w:rPr>
        <w:t>4</w:t>
      </w:r>
      <w:r>
        <w:rPr>
          <w:rFonts w:ascii="仿宋_GB2312" w:eastAsia="仿宋_GB2312"/>
          <w:sz w:val="28"/>
          <w:szCs w:val="28"/>
        </w:rPr>
        <w:t>.</w:t>
      </w:r>
      <w:r>
        <w:rPr>
          <w:rFonts w:hint="eastAsia" w:ascii="仿宋_GB2312" w:eastAsia="仿宋_GB2312"/>
          <w:sz w:val="28"/>
          <w:szCs w:val="28"/>
        </w:rPr>
        <w:t>机关运行经费：</w:t>
      </w:r>
      <w:r>
        <w:rPr>
          <w:rFonts w:hint="eastAsia" w:ascii="仿宋_GB2312" w:hAnsi="宋体" w:eastAsia="仿宋_GB2312"/>
          <w:sz w:val="28"/>
          <w:szCs w:val="28"/>
        </w:rPr>
        <w:t>指为</w:t>
      </w:r>
      <w:r>
        <w:rPr>
          <w:rFonts w:ascii="仿宋_GB2312" w:hAnsi="宋体" w:eastAsia="仿宋_GB2312"/>
          <w:sz w:val="28"/>
          <w:szCs w:val="28"/>
        </w:rPr>
        <w:t>保障</w:t>
      </w:r>
      <w:r>
        <w:rPr>
          <w:rFonts w:hint="eastAsia" w:ascii="仿宋_GB2312" w:hAnsi="宋体" w:eastAsia="仿宋_GB2312"/>
          <w:sz w:val="28"/>
          <w:szCs w:val="28"/>
        </w:rPr>
        <w:t>行政单位（含参照公务员法管理事业单位）运行用于</w:t>
      </w:r>
      <w:r>
        <w:rPr>
          <w:rFonts w:ascii="仿宋_GB2312" w:hAnsi="宋体" w:eastAsia="仿宋_GB2312"/>
          <w:sz w:val="28"/>
          <w:szCs w:val="28"/>
        </w:rPr>
        <w:t>购买货物和服务的各项资金</w:t>
      </w:r>
      <w:r>
        <w:rPr>
          <w:rFonts w:hint="eastAsia" w:ascii="仿宋_GB2312" w:hAnsi="宋体" w:eastAsia="仿宋_GB2312"/>
          <w:sz w:val="28"/>
          <w:szCs w:val="28"/>
        </w:rPr>
        <w:t>，包括办公及印刷费、邮电费、差旅费、会议费、福利费、日常维修费、专用材料及一般设备购置费、办公用房水电费、办公用房取暖费、办公用房物业管理费、公务用车运行维护费以及其他费用。</w:t>
      </w:r>
    </w:p>
    <w:p w14:paraId="6A4DC2F7">
      <w:pPr>
        <w:ind w:firstLine="420" w:firstLineChars="150"/>
        <w:rPr>
          <w:rFonts w:hint="eastAsia" w:ascii="仿宋_GB2312" w:eastAsia="仿宋_GB2312"/>
          <w:sz w:val="28"/>
          <w:szCs w:val="28"/>
        </w:rPr>
      </w:pPr>
      <w:r>
        <w:rPr>
          <w:rFonts w:hint="eastAsia" w:ascii="仿宋_GB2312" w:eastAsia="仿宋_GB2312"/>
          <w:sz w:val="28"/>
          <w:szCs w:val="28"/>
        </w:rPr>
        <w:t>5</w:t>
      </w:r>
      <w:r>
        <w:rPr>
          <w:rFonts w:ascii="仿宋_GB2312" w:eastAsia="仿宋_GB2312"/>
          <w:sz w:val="28"/>
          <w:szCs w:val="28"/>
        </w:rPr>
        <w:t>.</w:t>
      </w:r>
      <w:r>
        <w:rPr>
          <w:rFonts w:hint="eastAsia" w:ascii="仿宋_GB2312" w:eastAsia="仿宋_GB2312"/>
          <w:sz w:val="28"/>
          <w:szCs w:val="28"/>
        </w:rPr>
        <w:t>政府采购</w:t>
      </w:r>
      <w:r>
        <w:rPr>
          <w:rFonts w:ascii="仿宋_GB2312" w:eastAsia="仿宋_GB2312"/>
          <w:sz w:val="28"/>
          <w:szCs w:val="28"/>
        </w:rPr>
        <w:t>：</w:t>
      </w:r>
      <w:r>
        <w:rPr>
          <w:rFonts w:hint="eastAsia" w:ascii="仿宋_GB2312" w:eastAsia="仿宋_GB2312"/>
          <w:sz w:val="28"/>
          <w:szCs w:val="28"/>
        </w:rPr>
        <w:t>指</w:t>
      </w:r>
      <w:r>
        <w:rPr>
          <w:rFonts w:ascii="仿宋_GB2312" w:eastAsia="仿宋_GB2312"/>
          <w:sz w:val="28"/>
          <w:szCs w:val="28"/>
        </w:rPr>
        <w:t>各级国家机关、事业单位和团体组织，使用</w:t>
      </w:r>
      <w:r>
        <w:rPr>
          <w:rFonts w:hint="eastAsia" w:ascii="仿宋_GB2312" w:eastAsia="仿宋_GB2312"/>
          <w:sz w:val="28"/>
          <w:szCs w:val="28"/>
        </w:rPr>
        <w:t>财政性</w:t>
      </w:r>
      <w:r>
        <w:rPr>
          <w:rFonts w:ascii="仿宋_GB2312" w:eastAsia="仿宋_GB2312"/>
          <w:sz w:val="28"/>
          <w:szCs w:val="28"/>
        </w:rPr>
        <w:t>资金采购依法制定的集中目录以内的或者采购限额标准以上的货物、工程和服务的行为</w:t>
      </w:r>
      <w:r>
        <w:rPr>
          <w:rFonts w:hint="eastAsia" w:ascii="仿宋_GB2312" w:eastAsia="仿宋_GB2312"/>
          <w:sz w:val="28"/>
          <w:szCs w:val="28"/>
        </w:rPr>
        <w:t>，</w:t>
      </w:r>
      <w:r>
        <w:rPr>
          <w:rFonts w:ascii="仿宋_GB2312" w:eastAsia="仿宋_GB2312"/>
          <w:sz w:val="28"/>
          <w:szCs w:val="28"/>
        </w:rPr>
        <w:t>是规范财政支出管理和强化预算约束的有效措施。</w:t>
      </w:r>
    </w:p>
    <w:p w14:paraId="12DD6927">
      <w:pPr>
        <w:ind w:firstLine="420" w:firstLineChars="150"/>
        <w:rPr>
          <w:rFonts w:hint="eastAsia" w:ascii="仿宋_GB2312" w:eastAsia="仿宋_GB2312"/>
          <w:sz w:val="28"/>
          <w:szCs w:val="28"/>
        </w:rPr>
      </w:pPr>
      <w:r>
        <w:rPr>
          <w:rFonts w:hint="eastAsia" w:ascii="仿宋_GB2312" w:eastAsia="仿宋_GB2312"/>
          <w:sz w:val="28"/>
          <w:szCs w:val="28"/>
        </w:rPr>
        <w:t>6</w:t>
      </w:r>
      <w:r>
        <w:rPr>
          <w:rFonts w:ascii="仿宋_GB2312" w:eastAsia="仿宋_GB2312"/>
          <w:sz w:val="28"/>
          <w:szCs w:val="28"/>
        </w:rPr>
        <w:t>.政府购买服务：</w:t>
      </w:r>
      <w:r>
        <w:rPr>
          <w:rFonts w:hint="eastAsia" w:ascii="仿宋_GB2312" w:eastAsia="仿宋_GB2312"/>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14:paraId="2AD4BE3A">
      <w:pPr>
        <w:ind w:left="420" w:leftChars="200"/>
        <w:rPr>
          <w:rFonts w:ascii="仿宋_GB2312" w:eastAsia="仿宋_GB2312"/>
          <w:sz w:val="28"/>
          <w:szCs w:val="28"/>
        </w:rPr>
      </w:pPr>
      <w:r>
        <w:rPr>
          <w:rFonts w:ascii="仿宋_GB2312" w:eastAsia="仿宋_GB2312"/>
          <w:sz w:val="28"/>
          <w:szCs w:val="28"/>
        </w:rPr>
        <w:t>7.教育支出（类）普通教育（款）学前教育（项）：反映本部门举办的学前教育支出。</w:t>
      </w:r>
      <w:r>
        <w:rPr>
          <w:rFonts w:ascii="仿宋_GB2312" w:eastAsia="仿宋_GB2312"/>
          <w:sz w:val="28"/>
          <w:szCs w:val="28"/>
        </w:rPr>
        <w:br w:type="textWrapping"/>
      </w:r>
      <w:r>
        <w:rPr>
          <w:rFonts w:ascii="仿宋_GB2312" w:eastAsia="仿宋_GB2312"/>
          <w:sz w:val="28"/>
          <w:szCs w:val="28"/>
        </w:rPr>
        <w:t>8.教育支出（类）进修及培训（款）培训支出（项）：反映本部门安排的用于培训的支出。</w:t>
      </w:r>
      <w:r>
        <w:rPr>
          <w:rFonts w:ascii="仿宋_GB2312" w:eastAsia="仿宋_GB2312"/>
          <w:sz w:val="28"/>
          <w:szCs w:val="28"/>
        </w:rPr>
        <w:br w:type="textWrapping"/>
      </w:r>
      <w:r>
        <w:rPr>
          <w:rFonts w:ascii="仿宋_GB2312" w:eastAsia="仿宋_GB2312"/>
          <w:sz w:val="28"/>
          <w:szCs w:val="28"/>
        </w:rPr>
        <w:t>9.教育支出（类）教育费附加安排的支出（款）其他教育费附加安排的支出（项）：反映除上述项目以外的教育费附加支出。</w:t>
      </w:r>
      <w:r>
        <w:rPr>
          <w:rFonts w:ascii="仿宋_GB2312" w:eastAsia="仿宋_GB2312"/>
          <w:sz w:val="28"/>
          <w:szCs w:val="28"/>
        </w:rPr>
        <w:br w:type="textWrapping"/>
      </w:r>
      <w:r>
        <w:rPr>
          <w:rFonts w:ascii="仿宋_GB2312" w:eastAsia="仿宋_GB2312"/>
          <w:sz w:val="28"/>
          <w:szCs w:val="28"/>
        </w:rPr>
        <w:t>10.社会保障和就业支出（类）行政事业单位养老支出（款）事业单位离退休（项）：反映事业单位开支的离退休经费。</w:t>
      </w:r>
      <w:r>
        <w:rPr>
          <w:rFonts w:ascii="仿宋_GB2312" w:eastAsia="仿宋_GB2312"/>
          <w:sz w:val="28"/>
          <w:szCs w:val="28"/>
        </w:rPr>
        <w:br w:type="textWrapping"/>
      </w:r>
      <w:r>
        <w:rPr>
          <w:rFonts w:ascii="仿宋_GB2312" w:eastAsia="仿宋_GB2312"/>
          <w:sz w:val="28"/>
          <w:szCs w:val="28"/>
        </w:rPr>
        <w:t>11.社会保障和就业支出（类）行政事业单位养老支出（款）机关事业单位基本养老保险缴费支出（项）：反映机关事业单位实施养老保险制度由单位缴纳的基本养老保险费支出。</w:t>
      </w:r>
      <w:r>
        <w:rPr>
          <w:rFonts w:ascii="仿宋_GB2312" w:eastAsia="仿宋_GB2312"/>
          <w:sz w:val="28"/>
          <w:szCs w:val="28"/>
        </w:rPr>
        <w:br w:type="textWrapping"/>
      </w:r>
      <w:r>
        <w:rPr>
          <w:rFonts w:ascii="仿宋_GB2312" w:eastAsia="仿宋_GB2312"/>
          <w:sz w:val="28"/>
          <w:szCs w:val="28"/>
        </w:rPr>
        <w:t>12.社会保障和就业支出（类）行政事业单位养老支出（款）机关事业单位职业年金缴费支出（项）：反映机关事业单位实施养老保险制度由单位实际缴纳的职业年金支出。</w:t>
      </w:r>
      <w:r>
        <w:rPr>
          <w:rFonts w:ascii="仿宋_GB2312" w:eastAsia="仿宋_GB2312"/>
          <w:sz w:val="28"/>
          <w:szCs w:val="28"/>
        </w:rPr>
        <w:br w:type="textWrapping"/>
      </w:r>
      <w:r>
        <w:rPr>
          <w:rFonts w:ascii="仿宋_GB2312" w:eastAsia="仿宋_GB2312"/>
          <w:sz w:val="28"/>
          <w:szCs w:val="28"/>
        </w:rPr>
        <w:t>13.社会保障和就业支出（类）抚恤（款）死亡抚恤（项）：反映按规定用于烈士和牺牲、病故人员家属的一次性和定期抚恤金、丧葬补助费以及烈士褒扬金。</w:t>
      </w:r>
      <w:r>
        <w:rPr>
          <w:rFonts w:ascii="仿宋_GB2312" w:eastAsia="仿宋_GB2312"/>
          <w:sz w:val="28"/>
          <w:szCs w:val="28"/>
        </w:rPr>
        <w:br w:type="textWrapping"/>
      </w:r>
      <w:r>
        <w:rPr>
          <w:rFonts w:ascii="仿宋_GB2312" w:eastAsia="仿宋_GB2312"/>
          <w:sz w:val="28"/>
          <w:szCs w:val="28"/>
        </w:rPr>
        <w:t>14.卫生健康支出（类）行政事业单位医疗（款）事业单位医疗（项）：反映财政部门安排的事业单位基本医疗保险缴费经费，未参加医疗保险的事业单位的公费医疗经费，按国家规定享受离休人员待遇的医疗经费。</w:t>
      </w:r>
      <w:r>
        <w:rPr>
          <w:rFonts w:ascii="仿宋_GB2312" w:eastAsia="仿宋_GB2312"/>
          <w:sz w:val="28"/>
          <w:szCs w:val="28"/>
        </w:rPr>
        <w:br w:type="textWrapping"/>
      </w:r>
      <w:r>
        <w:rPr>
          <w:rFonts w:ascii="仿宋_GB2312" w:eastAsia="仿宋_GB2312"/>
          <w:sz w:val="28"/>
          <w:szCs w:val="28"/>
        </w:rPr>
        <w:t>15.住房保障支出（类）住房改革支出（款）住房公积金（项）：反映行政事业单位按人力资源和社会保障部、财政部规定的基本工资和津贴补贴以及规定比例为职工缴纳的住房公积金。</w:t>
      </w:r>
      <w:r>
        <w:rPr>
          <w:rFonts w:ascii="仿宋_GB2312" w:eastAsia="仿宋_GB2312"/>
          <w:sz w:val="28"/>
          <w:szCs w:val="28"/>
        </w:rPr>
        <w:br w:type="textWrapping"/>
      </w:r>
      <w:r>
        <w:rPr>
          <w:rFonts w:ascii="仿宋_GB2312" w:eastAsia="仿宋_GB2312"/>
          <w:sz w:val="28"/>
          <w:szCs w:val="28"/>
        </w:rPr>
        <w:t>16.住房保障支出（类）住房改革支出（款）提租补贴（项）：反映按房改政策规定的标准，行政事业单位向职工（含离退休人员）发放的租金补助。</w:t>
      </w:r>
      <w:r>
        <w:rPr>
          <w:rFonts w:ascii="仿宋_GB2312" w:eastAsia="仿宋_GB2312"/>
          <w:sz w:val="28"/>
          <w:szCs w:val="28"/>
        </w:rPr>
        <w:br w:type="textWrapping"/>
      </w:r>
      <w:r>
        <w:rPr>
          <w:rFonts w:ascii="仿宋_GB2312" w:eastAsia="仿宋_GB2312"/>
          <w:sz w:val="28"/>
          <w:szCs w:val="28"/>
        </w:rPr>
        <w:t>17.住房保障支出（类）住房改革支出（款）购房补贴（项）：反映按房改政策规定的标准，行政事业单位向符合条件职工（含离退休人员）发放的用于购买住房的补贴。</w:t>
      </w:r>
    </w:p>
    <w:p w14:paraId="3EB4CD67">
      <w:pPr>
        <w:ind w:firstLine="640" w:firstLineChars="200"/>
        <w:jc w:val="center"/>
        <w:rPr>
          <w:rFonts w:hint="eastAsia" w:ascii="黑体" w:eastAsia="黑体"/>
          <w:sz w:val="32"/>
          <w:szCs w:val="32"/>
        </w:rPr>
      </w:pPr>
      <w:bookmarkStart w:id="0" w:name="_GoBack"/>
      <w:bookmarkEnd w:id="0"/>
      <w:r>
        <w:rPr>
          <w:rFonts w:hint="eastAsia" w:ascii="黑体" w:eastAsia="黑体"/>
          <w:sz w:val="32"/>
          <w:szCs w:val="32"/>
        </w:rPr>
        <w:t>第四部分  202</w:t>
      </w:r>
      <w:r>
        <w:rPr>
          <w:rFonts w:hint="eastAsia" w:ascii="黑体" w:eastAsia="黑体"/>
          <w:sz w:val="32"/>
          <w:szCs w:val="32"/>
          <w:lang w:val="en-US" w:eastAsia="zh-CN"/>
        </w:rPr>
        <w:t>4</w:t>
      </w:r>
      <w:r>
        <w:rPr>
          <w:rFonts w:hint="eastAsia" w:ascii="黑体" w:eastAsia="黑体"/>
          <w:sz w:val="32"/>
          <w:szCs w:val="32"/>
        </w:rPr>
        <w:t>年度部门绩效评价情况</w:t>
      </w:r>
    </w:p>
    <w:p w14:paraId="6F662EDB">
      <w:pPr>
        <w:ind w:firstLine="560" w:firstLineChars="200"/>
        <w:rPr>
          <w:rFonts w:hint="eastAsia" w:ascii="黑体" w:eastAsia="黑体"/>
          <w:sz w:val="28"/>
          <w:szCs w:val="28"/>
          <w:highlight w:val="yellow"/>
        </w:rPr>
      </w:pPr>
    </w:p>
    <w:p w14:paraId="455B2564">
      <w:pPr>
        <w:numPr>
          <w:ilvl w:val="0"/>
          <w:numId w:val="1"/>
        </w:numPr>
        <w:ind w:firstLine="560" w:firstLineChars="200"/>
        <w:rPr>
          <w:rFonts w:hint="eastAsia" w:ascii="黑体" w:eastAsia="黑体"/>
          <w:sz w:val="28"/>
          <w:szCs w:val="28"/>
          <w:lang w:eastAsia="zh-CN"/>
        </w:rPr>
      </w:pPr>
      <w:r>
        <w:rPr>
          <w:rFonts w:hint="eastAsia" w:ascii="黑体" w:eastAsia="黑体"/>
          <w:sz w:val="28"/>
          <w:szCs w:val="28"/>
          <w:highlight w:val="none"/>
        </w:rPr>
        <w:t>部门整体绩效评价报告</w:t>
      </w:r>
      <w:r>
        <w:rPr>
          <w:rFonts w:hint="eastAsia" w:ascii="黑体" w:eastAsia="黑体"/>
          <w:sz w:val="28"/>
          <w:szCs w:val="28"/>
          <w:lang w:eastAsia="zh-CN"/>
        </w:rPr>
        <w:t>（参考模板详见附件）</w:t>
      </w:r>
    </w:p>
    <w:p w14:paraId="3D40DDBC">
      <w:pPr>
        <w:numPr>
          <w:ilvl w:val="0"/>
          <w:numId w:val="1"/>
        </w:numPr>
        <w:ind w:firstLine="560" w:firstLineChars="200"/>
        <w:rPr>
          <w:rFonts w:hint="eastAsia" w:ascii="黑体" w:eastAsia="黑体"/>
          <w:sz w:val="28"/>
          <w:szCs w:val="28"/>
          <w:lang w:eastAsia="zh-CN"/>
        </w:rPr>
      </w:pPr>
      <w:r>
        <w:rPr>
          <w:rFonts w:hint="eastAsia" w:ascii="黑体" w:eastAsia="黑体"/>
          <w:sz w:val="28"/>
          <w:szCs w:val="28"/>
        </w:rPr>
        <w:t>项目支出绩效评价报告</w:t>
      </w:r>
      <w:r>
        <w:rPr>
          <w:rFonts w:hint="eastAsia" w:ascii="黑体" w:eastAsia="黑体"/>
          <w:sz w:val="28"/>
          <w:szCs w:val="28"/>
          <w:lang w:eastAsia="zh-CN"/>
        </w:rPr>
        <w:t>（参考模板详见附件）</w:t>
      </w:r>
    </w:p>
    <w:p w14:paraId="253DBF56">
      <w:pPr>
        <w:numPr>
          <w:ilvl w:val="0"/>
          <w:numId w:val="1"/>
        </w:numPr>
        <w:ind w:firstLine="560" w:firstLineChars="200"/>
        <w:rPr>
          <w:rFonts w:ascii="黑体" w:eastAsia="黑体"/>
          <w:sz w:val="28"/>
          <w:szCs w:val="28"/>
        </w:rPr>
      </w:pPr>
      <w:r>
        <w:rPr>
          <w:rFonts w:hint="eastAsia" w:ascii="黑体" w:eastAsia="黑体"/>
          <w:sz w:val="28"/>
          <w:szCs w:val="28"/>
        </w:rPr>
        <w:t>项目</w:t>
      </w:r>
      <w:r>
        <w:rPr>
          <w:rFonts w:ascii="黑体" w:eastAsia="黑体"/>
          <w:sz w:val="28"/>
          <w:szCs w:val="28"/>
        </w:rPr>
        <w:t>支出绩效自评表</w:t>
      </w:r>
      <w:r>
        <w:rPr>
          <w:rFonts w:hint="eastAsia" w:ascii="黑体" w:eastAsia="黑体"/>
          <w:sz w:val="28"/>
          <w:szCs w:val="28"/>
          <w:lang w:eastAsia="zh-CN"/>
        </w:rPr>
        <w:t>（格式详见附件）</w:t>
      </w:r>
    </w:p>
    <w:p w14:paraId="5E84B70F">
      <w:pPr>
        <w:numPr>
          <w:ilvl w:val="0"/>
          <w:numId w:val="1"/>
        </w:numPr>
        <w:ind w:firstLine="560" w:firstLineChars="200"/>
        <w:rPr>
          <w:rFonts w:hint="eastAsia" w:ascii="黑体" w:eastAsia="黑体"/>
          <w:sz w:val="28"/>
          <w:szCs w:val="28"/>
          <w:lang w:eastAsia="zh-CN"/>
        </w:rPr>
      </w:pPr>
      <w:r>
        <w:rPr>
          <w:rFonts w:hint="eastAsia" w:ascii="黑体" w:hAnsi="Times New Roman" w:eastAsia="黑体" w:cs="Times New Roman"/>
          <w:sz w:val="28"/>
          <w:szCs w:val="28"/>
          <w:lang w:val="en-US" w:eastAsia="zh-CN"/>
        </w:rPr>
        <w:t>中央对北京XX转移支付预算执行情况绩效自评报告</w:t>
      </w:r>
      <w:r>
        <w:rPr>
          <w:rFonts w:hint="eastAsia" w:ascii="黑体" w:eastAsia="黑体"/>
          <w:sz w:val="28"/>
          <w:szCs w:val="28"/>
          <w:lang w:eastAsia="zh-CN"/>
        </w:rPr>
        <w:t>（参考提纲详见附件）</w:t>
      </w:r>
    </w:p>
    <w:p w14:paraId="1DAEB77A">
      <w:pPr>
        <w:spacing w:line="480" w:lineRule="exact"/>
        <w:ind w:firstLine="420" w:firstLineChars="0"/>
        <w:rPr>
          <w:rFonts w:hint="eastAsia" w:ascii="黑体" w:eastAsia="黑体"/>
          <w:sz w:val="28"/>
          <w:szCs w:val="28"/>
        </w:rPr>
      </w:pPr>
      <w:r>
        <w:rPr>
          <w:rFonts w:hint="eastAsia" w:ascii="黑体" w:eastAsia="黑体"/>
          <w:sz w:val="28"/>
          <w:szCs w:val="28"/>
        </w:rPr>
        <w:t xml:space="preserve"> （注：</w:t>
      </w:r>
      <w:r>
        <w:rPr>
          <w:rFonts w:hint="eastAsia" w:ascii="黑体" w:eastAsia="黑体"/>
          <w:color w:val="auto"/>
          <w:sz w:val="28"/>
          <w:szCs w:val="28"/>
        </w:rPr>
        <w:t>有中央转移支付的一级预算部门，公开“一、二、三、四”；没有中央转移支付的一级预算部门，公开“一、二、三”；</w:t>
      </w:r>
      <w:r>
        <w:rPr>
          <w:rFonts w:hint="eastAsia" w:ascii="黑体" w:eastAsia="黑体"/>
          <w:sz w:val="28"/>
          <w:szCs w:val="28"/>
        </w:rPr>
        <w:t>二级预算单位仅公开“三”</w:t>
      </w:r>
      <w:r>
        <w:rPr>
          <w:rFonts w:hint="eastAsia" w:ascii="黑体" w:eastAsia="黑体"/>
          <w:sz w:val="28"/>
          <w:szCs w:val="28"/>
          <w:lang w:eastAsia="zh-CN"/>
        </w:rPr>
        <w:t>。</w:t>
      </w:r>
      <w:r>
        <w:rPr>
          <w:rFonts w:hint="eastAsia" w:ascii="黑体" w:eastAsia="黑体"/>
          <w:sz w:val="28"/>
          <w:szCs w:val="28"/>
        </w:rPr>
        <w:t>）</w:t>
      </w:r>
    </w:p>
    <w:p w14:paraId="5FAD75C9">
      <w:pPr>
        <w:spacing w:line="480" w:lineRule="exact"/>
        <w:rPr>
          <w:rFonts w:hint="eastAsia" w:ascii="仿宋_GB2312" w:hAnsi="仿宋_GB2312" w:eastAsia="仿宋_GB2312" w:cs="仿宋_GB2312"/>
          <w:sz w:val="32"/>
          <w:szCs w:val="32"/>
        </w:rPr>
      </w:pPr>
    </w:p>
    <w:p w14:paraId="3F354717">
      <w:pPr>
        <w:spacing w:line="480" w:lineRule="exact"/>
      </w:pPr>
    </w:p>
    <w:sectPr>
      <w:footerReference r:id="rId4" w:type="default"/>
      <w:footerReference r:id="rId5"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Tahoma">
    <w:panose1 w:val="020B0604030504040204"/>
    <w:charset w:val="00"/>
    <w:family w:val="swiss"/>
    <w:pitch w:val="default"/>
    <w:sig w:usb0="E1002EFF" w:usb1="C000605B" w:usb2="00000029" w:usb3="00000000" w:csb0="200101FF" w:csb1="20280000"/>
  </w:font>
  <w:font w:name="Droid Sans">
    <w:altName w:val="微软雅黑"/>
    <w:panose1 w:val="00000000000000000000"/>
    <w:charset w:val="00"/>
    <w:family w:val="auto"/>
    <w:pitch w:val="default"/>
    <w:sig w:usb0="00000000" w:usb1="00000000" w:usb2="00000000" w:usb3="00000000" w:csb0="00040001"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C07D3A7">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3</w:t>
    </w:r>
    <w:r>
      <w:fldChar w:fldCharType="end"/>
    </w:r>
  </w:p>
  <w:p w14:paraId="7C4EE432">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3E1FE45">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5</w:t>
    </w:r>
    <w:r>
      <w:fldChar w:fldCharType="end"/>
    </w:r>
  </w:p>
  <w:p w14:paraId="1272B41B">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254AE8D">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15</w:t>
    </w:r>
    <w:r>
      <w:fldChar w:fldCharType="end"/>
    </w:r>
  </w:p>
  <w:p w14:paraId="20E824CD">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D7E84BE"/>
    <w:multiLevelType w:val="singleLevel"/>
    <w:tmpl w:val="8D7E84BE"/>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mNWE4NzRhMTczNjJlZDE5ZTE5YTczN2QxMzcyMjA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2F120AB"/>
    <w:rsid w:val="032B5196"/>
    <w:rsid w:val="04C3537C"/>
    <w:rsid w:val="079004AC"/>
    <w:rsid w:val="0BA148CA"/>
    <w:rsid w:val="0C1165C4"/>
    <w:rsid w:val="0D6D544B"/>
    <w:rsid w:val="0DD136FE"/>
    <w:rsid w:val="0F8E2C57"/>
    <w:rsid w:val="1059665E"/>
    <w:rsid w:val="10AC13BA"/>
    <w:rsid w:val="145A6C1B"/>
    <w:rsid w:val="14B73493"/>
    <w:rsid w:val="167A2FF9"/>
    <w:rsid w:val="18581C69"/>
    <w:rsid w:val="1AEC0734"/>
    <w:rsid w:val="1DEF20B0"/>
    <w:rsid w:val="214243FA"/>
    <w:rsid w:val="21AD613C"/>
    <w:rsid w:val="22467189"/>
    <w:rsid w:val="257A14F5"/>
    <w:rsid w:val="27196C26"/>
    <w:rsid w:val="29EF086F"/>
    <w:rsid w:val="2EFFE297"/>
    <w:rsid w:val="301437CA"/>
    <w:rsid w:val="349D1F0A"/>
    <w:rsid w:val="34DD0473"/>
    <w:rsid w:val="3C684897"/>
    <w:rsid w:val="433E495C"/>
    <w:rsid w:val="489F2FD7"/>
    <w:rsid w:val="4AC27CB3"/>
    <w:rsid w:val="4BF72BEF"/>
    <w:rsid w:val="4FA90297"/>
    <w:rsid w:val="4FC41A43"/>
    <w:rsid w:val="51DB3C59"/>
    <w:rsid w:val="550C0952"/>
    <w:rsid w:val="55762E42"/>
    <w:rsid w:val="57A7B272"/>
    <w:rsid w:val="58470068"/>
    <w:rsid w:val="58747CAC"/>
    <w:rsid w:val="5A1720F9"/>
    <w:rsid w:val="5B815BF1"/>
    <w:rsid w:val="5B9C37C2"/>
    <w:rsid w:val="5BA7C654"/>
    <w:rsid w:val="60A54109"/>
    <w:rsid w:val="61D01CDF"/>
    <w:rsid w:val="64C0607C"/>
    <w:rsid w:val="65756C86"/>
    <w:rsid w:val="674D385B"/>
    <w:rsid w:val="676F09E1"/>
    <w:rsid w:val="71793A80"/>
    <w:rsid w:val="7357290B"/>
    <w:rsid w:val="798524E4"/>
    <w:rsid w:val="7A7F1C49"/>
    <w:rsid w:val="7B5B7AE6"/>
    <w:rsid w:val="7B7B6628"/>
    <w:rsid w:val="7BA7071E"/>
    <w:rsid w:val="7BDF6DA8"/>
    <w:rsid w:val="7C7EDC1A"/>
    <w:rsid w:val="7CCED98D"/>
    <w:rsid w:val="7D08410F"/>
    <w:rsid w:val="7DB96DED"/>
    <w:rsid w:val="7DD3AD81"/>
    <w:rsid w:val="7F7FE70F"/>
    <w:rsid w:val="7FFF772F"/>
    <w:rsid w:val="95F35EF6"/>
    <w:rsid w:val="9BFFD860"/>
    <w:rsid w:val="AC5F73DE"/>
    <w:rsid w:val="B5DDD2C8"/>
    <w:rsid w:val="B9DFABD9"/>
    <w:rsid w:val="BC0D83FC"/>
    <w:rsid w:val="BF3BDEFB"/>
    <w:rsid w:val="C75F6086"/>
    <w:rsid w:val="C7F7ED2D"/>
    <w:rsid w:val="CFAF854E"/>
    <w:rsid w:val="D8D7928E"/>
    <w:rsid w:val="D8FE3136"/>
    <w:rsid w:val="DDDE60B7"/>
    <w:rsid w:val="DE9F6A22"/>
    <w:rsid w:val="DF4FCE6A"/>
    <w:rsid w:val="E4FED278"/>
    <w:rsid w:val="EDAA365C"/>
    <w:rsid w:val="EDADFC12"/>
    <w:rsid w:val="F2FD229B"/>
    <w:rsid w:val="F7F709E9"/>
    <w:rsid w:val="F7FF3690"/>
    <w:rsid w:val="F9BD3900"/>
    <w:rsid w:val="FC8B9876"/>
    <w:rsid w:val="FEDFF218"/>
    <w:rsid w:val="FEDFFF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100" w:beforeAutospacing="1" w:after="100" w:afterAutospacing="1"/>
      <w:outlineLvl w:val="1"/>
    </w:pPr>
    <w:rPr>
      <w:rFonts w:ascii="Cambria" w:hAnsi="Cambria" w:eastAsia="黑体"/>
      <w:b/>
      <w:bCs/>
      <w:kern w:val="0"/>
      <w:sz w:val="36"/>
      <w:szCs w:val="32"/>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3">
    <w:name w:val="Normal Indent"/>
    <w:basedOn w:val="1"/>
    <w:qFormat/>
    <w:uiPriority w:val="0"/>
    <w:pPr>
      <w:ind w:firstLine="200" w:firstLineChars="200"/>
    </w:pPr>
  </w:style>
  <w:style w:type="paragraph" w:styleId="4">
    <w:name w:val="Body Text Indent"/>
    <w:basedOn w:val="1"/>
    <w:qFormat/>
    <w:uiPriority w:val="0"/>
    <w:pPr>
      <w:ind w:firstLine="645"/>
    </w:pPr>
    <w:rPr>
      <w:rFonts w:ascii="仿宋_GB2312" w:hAnsi="Calibri" w:eastAsia="仿宋_GB2312"/>
      <w:sz w:val="32"/>
      <w:szCs w:val="32"/>
    </w:rPr>
  </w:style>
  <w:style w:type="paragraph" w:styleId="5">
    <w:name w:val="Date"/>
    <w:basedOn w:val="1"/>
    <w:next w:val="1"/>
    <w:qFormat/>
    <w:uiPriority w:val="0"/>
    <w:pPr>
      <w:ind w:left="100" w:leftChars="2500"/>
    </w:pPr>
  </w:style>
  <w:style w:type="paragraph" w:styleId="6">
    <w:name w:val="Balloon Text"/>
    <w:basedOn w:val="1"/>
    <w:semiHidden/>
    <w:qFormat/>
    <w:uiPriority w:val="0"/>
    <w:rPr>
      <w:sz w:val="18"/>
      <w:szCs w:val="18"/>
    </w:rPr>
  </w:style>
  <w:style w:type="paragraph" w:styleId="7">
    <w:name w:val="footer"/>
    <w:basedOn w:val="1"/>
    <w:link w:val="14"/>
    <w:qFormat/>
    <w:uiPriority w:val="0"/>
    <w:pPr>
      <w:tabs>
        <w:tab w:val="center" w:pos="4153"/>
        <w:tab w:val="right" w:pos="8306"/>
      </w:tabs>
      <w:snapToGrid w:val="0"/>
      <w:jc w:val="left"/>
    </w:pPr>
    <w:rPr>
      <w:sz w:val="18"/>
      <w:szCs w:val="18"/>
    </w:rPr>
  </w:style>
  <w:style w:type="paragraph" w:styleId="8">
    <w:name w:val="header"/>
    <w:basedOn w:val="1"/>
    <w:link w:val="15"/>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9">
    <w:name w:val="Normal (Web)"/>
    <w:basedOn w:val="1"/>
    <w:unhideWhenUsed/>
    <w:qFormat/>
    <w:uiPriority w:val="0"/>
    <w:pPr>
      <w:spacing w:before="100" w:beforeAutospacing="1" w:after="100" w:afterAutospacing="1"/>
      <w:ind w:right="238"/>
      <w:jc w:val="left"/>
    </w:pPr>
    <w:rPr>
      <w:b/>
      <w:kern w:val="0"/>
      <w:sz w:val="24"/>
      <w:szCs w:val="20"/>
    </w:rPr>
  </w:style>
  <w:style w:type="character" w:styleId="12">
    <w:name w:val="Strong"/>
    <w:qFormat/>
    <w:uiPriority w:val="0"/>
    <w:rPr>
      <w:b/>
    </w:rPr>
  </w:style>
  <w:style w:type="character" w:styleId="13">
    <w:name w:val="page number"/>
    <w:qFormat/>
    <w:uiPriority w:val="0"/>
  </w:style>
  <w:style w:type="character" w:customStyle="1" w:styleId="14">
    <w:name w:val="页脚 Char"/>
    <w:link w:val="7"/>
    <w:qFormat/>
    <w:uiPriority w:val="0"/>
    <w:rPr>
      <w:rFonts w:eastAsia="宋体"/>
      <w:kern w:val="2"/>
      <w:sz w:val="18"/>
      <w:szCs w:val="18"/>
      <w:lang w:val="en-US" w:eastAsia="zh-CN" w:bidi="ar-SA"/>
    </w:rPr>
  </w:style>
  <w:style w:type="character" w:customStyle="1" w:styleId="15">
    <w:name w:val="页眉 Char"/>
    <w:link w:val="8"/>
    <w:qFormat/>
    <w:uiPriority w:val="0"/>
    <w:rPr>
      <w:rFonts w:ascii="Calibri" w:hAnsi="Calibri" w:eastAsia="宋体"/>
      <w:kern w:val="2"/>
      <w:sz w:val="18"/>
      <w:szCs w:val="18"/>
      <w:lang w:val="en-US" w:eastAsia="zh-CN" w:bidi="ar-SA"/>
    </w:rPr>
  </w:style>
  <w:style w:type="paragraph" w:customStyle="1" w:styleId="16">
    <w:name w:val="Char Char Char Char Char Char Char"/>
    <w:basedOn w:val="1"/>
    <w:qFormat/>
    <w:uiPriority w:val="0"/>
    <w:rPr>
      <w:rFonts w:ascii="Tahoma" w:hAnsi="Tahoma"/>
      <w:sz w:val="24"/>
      <w:szCs w:val="20"/>
    </w:rPr>
  </w:style>
  <w:style w:type="paragraph" w:customStyle="1" w:styleId="17">
    <w:name w:val="Char1 Char Char Char"/>
    <w:basedOn w:val="1"/>
    <w:qFormat/>
    <w:uiPriority w:val="0"/>
    <w:pPr>
      <w:widowControl/>
      <w:spacing w:after="160" w:line="240" w:lineRule="exact"/>
      <w:jc w:val="left"/>
    </w:pPr>
    <w:rPr>
      <w:szCs w:val="20"/>
    </w:rPr>
  </w:style>
  <w:style w:type="paragraph" w:customStyle="1" w:styleId="18">
    <w:name w:val="Char"/>
    <w:basedOn w:val="1"/>
    <w:qFormat/>
    <w:uiPriority w:val="0"/>
    <w:rPr>
      <w:rFonts w:ascii="Tahoma" w:hAnsi="Tahoma"/>
      <w:sz w:val="24"/>
      <w:szCs w:val="20"/>
    </w:rPr>
  </w:style>
  <w:style w:type="paragraph" w:customStyle="1" w:styleId="19">
    <w:name w:val="Char Char3 Char Char"/>
    <w:basedOn w:val="1"/>
    <w:qFormat/>
    <w:uiPriority w:val="0"/>
    <w:rPr>
      <w:szCs w:val="21"/>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hart" Target="charts/chart2.xml"/><Relationship Id="rId7" Type="http://schemas.openxmlformats.org/officeDocument/2006/relationships/chart" Target="charts/chart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package" Target="../embeddings/Workbook2.xlsx"/></Relationships>
</file>

<file path=word/charts/_rels/chart2.xml.rels><?xml version="1.0" encoding="UTF-8" standalone="yes"?>
<Relationships xmlns="http://schemas.openxmlformats.org/package/2006/relationships"><Relationship Id="rId1" Type="http://schemas.openxmlformats.org/officeDocument/2006/relationships/package" Target="../embeddings/Workbook1.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zh-CN" altLang="en-US" sz="1400" b="0"/>
              <a:t>收入决算</a:t>
            </a:r>
            <a:endParaRPr lang="zh-CN" altLang="en-US" sz="1400" b="0"/>
          </a:p>
        </c:rich>
      </c:tx>
      <c:layout/>
      <c:overlay val="0"/>
    </c:title>
    <c:autoTitleDeleted val="0"/>
    <c:plotArea>
      <c:layout/>
      <c:pieChart>
        <c:varyColors val="1"/>
        <c:ser>
          <c:idx val="0"/>
          <c:order val="0"/>
          <c:tx>
            <c:strRef>
              <c:f>Sheet1!$B$1</c:f>
              <c:strCache>
                <c:ptCount val="1"/>
                <c:pt idx="0">
                  <c:v>收入</c:v>
                </c:pt>
              </c:strCache>
            </c:strRef>
          </c:tx>
          <c:explosion val="0"/>
          <c:dPt>
            <c:idx val="0"/>
            <c:bubble3D val="0"/>
          </c:dPt>
          <c:dPt>
            <c:idx val="1"/>
            <c:bubble3D val="0"/>
          </c:dPt>
          <c:dPt>
            <c:idx val="2"/>
            <c:bubble3D val="0"/>
          </c:dPt>
          <c:dPt>
            <c:idx val="3"/>
            <c:bubble3D val="0"/>
          </c:dPt>
          <c:dPt>
            <c:idx val="4"/>
            <c:bubble3D val="0"/>
          </c:dPt>
          <c:dPt>
            <c:idx val="5"/>
            <c:bubble3D val="0"/>
          </c:dPt>
          <c:dLbls>
            <c:numFmt formatCode="0.00%" sourceLinked="0"/>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ext>
            </c:extLst>
          </c:dLbls>
          <c:cat>
            <c:strRef>
              <c:f>Sheet1!$A$2:$A$7</c:f>
              <c:strCache>
                <c:ptCount val="6"/>
                <c:pt idx="0">
                  <c:v>财政拨款收入</c:v>
                </c:pt>
                <c:pt idx="1">
                  <c:v>上级补助收入</c:v>
                </c:pt>
                <c:pt idx="2">
                  <c:v>事业收入</c:v>
                </c:pt>
                <c:pt idx="3">
                  <c:v>经营收入</c:v>
                </c:pt>
                <c:pt idx="4">
                  <c:v>附属单位上缴</c:v>
                </c:pt>
                <c:pt idx="5">
                  <c:v>其他收入</c:v>
                </c:pt>
              </c:strCache>
            </c:strRef>
          </c:cat>
          <c:val>
            <c:numRef>
              <c:f>Sheet1!$B$2:$B$7</c:f>
              <c:numCache>
                <c:formatCode>General</c:formatCode>
                <c:ptCount val="6"/>
                <c:pt idx="0">
                  <c:v>3181.69</c:v>
                </c:pt>
                <c:pt idx="1">
                  <c:v>0</c:v>
                </c:pt>
                <c:pt idx="2">
                  <c:v>0</c:v>
                </c:pt>
                <c:pt idx="3">
                  <c:v>0</c:v>
                </c:pt>
                <c:pt idx="4">
                  <c:v>0</c:v>
                </c:pt>
                <c:pt idx="5">
                  <c:v>0</c:v>
                </c:pt>
              </c:numCache>
            </c:numRef>
          </c:val>
        </c:ser>
        <c:dLbls>
          <c:showLegendKey val="0"/>
          <c:showVal val="1"/>
          <c:showCatName val="0"/>
          <c:showSerName val="0"/>
          <c:showPercent val="0"/>
          <c:showBubbleSize val="0"/>
          <c:showLeaderLines val="1"/>
        </c:dLbls>
        <c:firstSliceAng val="0"/>
      </c:pieChart>
    </c:plotArea>
    <c:legend>
      <c:legendPos val="r"/>
      <c:layout/>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legend>
    <c:plotVisOnly val="1"/>
    <c:dispBlanksAs val="gap"/>
    <c:showDLblsOverMax val="0"/>
    <c:extLst>
      <c:ext uri="{0b15fc19-7d7d-44ad-8c2d-2c3a37ce22c3}">
        <chartProps xmlns="https://web.wps.cn/et/2018/main" chartId="{9699bdae-3d0c-4d47-bbb6-71f2e3244c64}"/>
      </c:ext>
    </c:extLst>
  </c:chart>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solidFill>
                <a:latin typeface="+mn-lt"/>
                <a:ea typeface="+mn-ea"/>
                <a:cs typeface="+mn-cs"/>
              </a:defRPr>
            </a:pPr>
            <a:r>
              <a:rPr lang="zh-CN" altLang="en-US">
                <a:solidFill>
                  <a:schemeClr val="tx1"/>
                </a:solidFill>
              </a:rPr>
              <a:t>支出决算</a:t>
            </a:r>
            <a:endParaRPr lang="zh-CN" altLang="en-US">
              <a:solidFill>
                <a:schemeClr val="tx1"/>
              </a:solidFill>
            </a:endParaRPr>
          </a:p>
        </c:rich>
      </c:tx>
      <c:layout/>
      <c:overlay val="0"/>
      <c:spPr>
        <a:noFill/>
        <a:ln>
          <a:noFill/>
        </a:ln>
        <a:effectLst/>
      </c:spPr>
    </c:title>
    <c:autoTitleDeleted val="0"/>
    <c:plotArea>
      <c:layout/>
      <c:pieChart>
        <c:varyColors val="1"/>
        <c:ser>
          <c:idx val="0"/>
          <c:order val="0"/>
          <c:tx>
            <c:strRef>
              <c:f>Sheet0!$B$1</c:f>
              <c:strCache>
                <c:ptCount val="1"/>
                <c:pt idx="0">
                  <c:v>支出</c:v>
                </c:pt>
              </c:strCache>
            </c:strRef>
          </c:tx>
          <c:explosion val="0"/>
          <c:dPt>
            <c:idx val="0"/>
            <c:bubble3D val="0"/>
            <c:spPr>
              <a:solidFill>
                <a:srgbClr val="4F81BD"/>
              </a:solidFill>
              <a:ln w="19050">
                <a:solidFill>
                  <a:srgbClr val="FFFFFF"/>
                </a:solidFill>
              </a:ln>
              <a:effectLst/>
            </c:spPr>
          </c:dPt>
          <c:dPt>
            <c:idx val="1"/>
            <c:bubble3D val="0"/>
            <c:spPr>
              <a:solidFill>
                <a:srgbClr val="C0504D"/>
              </a:solidFill>
              <a:ln w="19050">
                <a:solidFill>
                  <a:srgbClr val="FFFFFF"/>
                </a:solidFill>
              </a:ln>
              <a:effectLst/>
            </c:spPr>
          </c:dPt>
          <c:dPt>
            <c:idx val="2"/>
            <c:bubble3D val="0"/>
            <c:spPr>
              <a:solidFill>
                <a:srgbClr val="9BBB59"/>
              </a:solidFill>
              <a:ln w="19050">
                <a:solidFill>
                  <a:srgbClr val="FFFFFF"/>
                </a:solidFill>
              </a:ln>
              <a:effectLst/>
            </c:spPr>
          </c:dPt>
          <c:dPt>
            <c:idx val="3"/>
            <c:bubble3D val="0"/>
            <c:spPr>
              <a:solidFill>
                <a:srgbClr val="8064A2"/>
              </a:solidFill>
              <a:ln w="19050">
                <a:solidFill>
                  <a:srgbClr val="FFFFFF"/>
                </a:solidFill>
              </a:ln>
              <a:effectLst/>
            </c:spPr>
          </c:dPt>
          <c:dPt>
            <c:idx val="4"/>
            <c:bubble3D val="0"/>
            <c:spPr>
              <a:solidFill>
                <a:srgbClr val="4BACC6"/>
              </a:solidFill>
              <a:ln w="19050">
                <a:solidFill>
                  <a:srgbClr val="FFFFFF"/>
                </a:solidFill>
              </a:ln>
              <a:effectLst/>
            </c:spPr>
          </c:dPt>
          <c:dLbls>
            <c:dLbl>
              <c:idx val="2"/>
              <c:layout>
                <c:manualLayout>
                  <c:x val="-0.03900372940115"/>
                  <c:y val="0.0328271436107878"/>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dLbl>
              <c:idx val="4"/>
              <c:layout>
                <c:manualLayout>
                  <c:x val="0.0389887693586102"/>
                  <c:y val="0.0105112295100623"/>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numFmt formatCode="0.00%"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rgbClr val="A6A6A6">
                          <a:lumMod val="35000"/>
                          <a:lumOff val="65000"/>
                        </a:srgbClr>
                      </a:solidFill>
                      <a:prstDash val="solid"/>
                      <a:round/>
                    </a:ln>
                    <a:effectLst/>
                  </c:spPr>
                </c15:leaderLines>
              </c:ext>
            </c:extLst>
          </c:dLbls>
          <c:cat>
            <c:strRef>
              <c:f>Sheet0!$A$2:$A$6</c:f>
              <c:strCache>
                <c:ptCount val="5"/>
                <c:pt idx="0">
                  <c:v>基本支出</c:v>
                </c:pt>
                <c:pt idx="1">
                  <c:v>项目支出</c:v>
                </c:pt>
                <c:pt idx="2">
                  <c:v>上缴上级支出</c:v>
                </c:pt>
                <c:pt idx="3">
                  <c:v>经营支出</c:v>
                </c:pt>
                <c:pt idx="4">
                  <c:v>对附属单位补助支出</c:v>
                </c:pt>
              </c:strCache>
            </c:strRef>
          </c:cat>
          <c:val>
            <c:numRef>
              <c:f>Sheet0!$B$2:$B$6</c:f>
              <c:numCache>
                <c:formatCode>General</c:formatCode>
                <c:ptCount val="5"/>
                <c:pt idx="0">
                  <c:v>2940.4</c:v>
                </c:pt>
                <c:pt idx="1">
                  <c:v>241.3</c:v>
                </c:pt>
                <c:pt idx="2">
                  <c:v>0</c:v>
                </c:pt>
                <c:pt idx="3">
                  <c:v>0</c:v>
                </c:pt>
                <c:pt idx="4">
                  <c:v>0</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b"/>
      <c:legendEntry>
        <c:idx val="0"/>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1"/>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2"/>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3"/>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4"/>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
    <c:plotVisOnly val="1"/>
    <c:dispBlanksAs val="gap"/>
    <c:showDLblsOverMax val="0"/>
    <c:extLst>
      <c:ext uri="{0b15fc19-7d7d-44ad-8c2d-2c3a37ce22c3}">
        <chartProps xmlns="https://web.wps.cn/et/2018/main" chartId="{c042db70-0936-4e7d-90c2-58b8a57e9147}"/>
      </c:ext>
    </c:extLst>
  </c:chart>
  <c:spPr>
    <a:ln w="9525" cap="flat" cmpd="sng" algn="ctr">
      <a:solidFill>
        <a:srgbClr val="D9D9D9">
          <a:lumMod val="15000"/>
          <a:lumOff val="85000"/>
        </a:srgbClr>
      </a:solidFill>
      <a:prstDash val="solid"/>
      <a:round/>
    </a:ln>
    <a:effectLst/>
  </c:spPr>
  <c:txPr>
    <a:bodyPr/>
    <a:lstStyle/>
    <a:p>
      <a:pPr>
        <a:defRPr lang="zh-CN"/>
      </a:pPr>
    </a:p>
  </c:txPr>
  <c:externalData r:id="rId1">
    <c:autoUpdate val="0"/>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3443</Words>
  <Characters>3910</Characters>
  <Lines>44</Lines>
  <Paragraphs>12</Paragraphs>
  <TotalTime>0</TotalTime>
  <ScaleCrop>false</ScaleCrop>
  <LinksUpToDate>false</LinksUpToDate>
  <CharactersWithSpaces>3931</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2017-07-11T15:16:00Z</dcterms:created>
  <dc:creator>常程</dc:creator>
  <cp:lastModifiedBy>Administrator</cp:lastModifiedBy>
  <cp:lastPrinted>2020-08-07T11:39:00Z</cp:lastPrinted>
  <dcterms:modified xsi:type="dcterms:W3CDTF">2025-08-27T13:06:27Z</dcterms:modified>
  <dc:title>北京市财政局关于做好向市人大常委会报送2015年度市级部门决算（草案）</dc:title>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435078ACFECC4A5A8A519EF4C3681114_13</vt:lpwstr>
  </property>
  <property fmtid="{D5CDD505-2E9C-101B-9397-08002B2CF9AE}" pid="4" name="KSOTemplateDocerSaveRecord">
    <vt:lpwstr>eyJoZGlkIjoiMTk5YzI4OWNiMjVkZjNhMmFjZGFkNzk0MWIyYzUwYTYifQ==</vt:lpwstr>
  </property>
</Properties>
</file>